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pStyle w:val="1127"/>
        <w:ind w:firstLine="0"/>
        <w:jc w:val="center"/>
        <w:spacing w:before="0" w:after="0"/>
        <w:rPr>
          <w:rFonts w:hint="eastAsia" w:eastAsia="宋体"/>
          <w:b/>
          <w:bCs/>
          <w:color w:val="auto"/>
          <w:sz w:val="28"/>
          <w:szCs w:val="28"/>
          <w:highlight w:val="none"/>
          <w:lang w:eastAsia="zh-CN"/>
        </w:rPr>
      </w:pPr>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b/>
          <w:bCs/>
          <w:color w:val="auto"/>
          <w:sz w:val="28"/>
          <w:szCs w:val="28"/>
          <w:highlight w:val="none"/>
        </w:rPr>
        <w:t xml:space="preserve">项目名称：</w:t>
      </w:r>
      <w:r>
        <w:rPr>
          <w:rFonts w:hint="eastAsia"/>
          <w:b/>
          <w:bCs/>
          <w:color w:val="auto"/>
          <w:sz w:val="28"/>
          <w:szCs w:val="28"/>
          <w:highlight w:val="none"/>
          <w:u w:val="single"/>
          <w:lang w:eastAsia="zh-CN"/>
        </w:rPr>
        <w:t xml:space="preserve">川姜镇2026-2028年度安置小区电梯“保险+服务”项目 （第三次）</w:t>
      </w:r>
      <w:r/>
    </w:p>
    <w:p>
      <w:pPr>
        <w:pStyle w:val="1079"/>
        <w:rPr>
          <w:rFonts w:eastAsia="宋体"/>
          <w:color w:val="auto"/>
          <w:highlight w:val="none"/>
        </w:rPr>
      </w:pPr>
      <w:r>
        <w:rPr>
          <w:rFonts w:eastAsia="宋体"/>
          <w:color w:val="auto"/>
          <w:highlight w:val="none"/>
        </w:rPr>
      </w:r>
      <w:r/>
    </w:p>
    <w:p>
      <w:pPr>
        <w:ind w:firstLine="1285"/>
        <w:spacing w:before="120" w:after="120" w:line="360" w:lineRule="auto"/>
        <w:rPr>
          <w:rFonts w:ascii="Arial" w:hAnsi="Arial"/>
          <w:b/>
          <w:bCs/>
          <w:color w:val="auto"/>
          <w:sz w:val="28"/>
          <w:szCs w:val="28"/>
          <w:highlight w:val="none"/>
        </w:rPr>
      </w:pPr>
      <w:r>
        <w:rPr>
          <w:rFonts w:hint="eastAsia" w:ascii="Arial" w:hAnsi="Arial"/>
          <w:b/>
          <w:bCs/>
          <w:color w:val="auto"/>
          <w:sz w:val="28"/>
          <w:szCs w:val="28"/>
          <w:highlight w:val="none"/>
        </w:rPr>
        <w:t xml:space="preserve">项目编号：JSZC-320612-NTJR-C2026-0003</w:t>
      </w:r>
      <w:r>
        <w:rPr>
          <w:rFonts w:hint="eastAsia" w:ascii="Arial" w:hAnsi="Arial"/>
          <w:b/>
          <w:bCs/>
          <w:color w:val="auto"/>
          <w:sz w:val="28"/>
          <w:szCs w:val="28"/>
          <w:highlight w:val="none"/>
          <w:lang w:val="en-US" w:eastAsia="zh-CN"/>
        </w:rPr>
        <w:t xml:space="preserve">  </w:t>
      </w:r>
      <w:r>
        <w:rPr>
          <w:rFonts w:hint="eastAsia" w:ascii="Arial" w:hAnsi="Arial"/>
          <w:b/>
          <w:bCs/>
          <w:color w:val="auto"/>
          <w:sz w:val="28"/>
          <w:szCs w:val="28"/>
          <w:highlight w:val="none"/>
        </w:rPr>
        <w:t xml:space="preserve"> </w:t>
      </w:r>
      <w:r/>
    </w:p>
    <w:p>
      <w:pPr>
        <w:rPr>
          <w:color w:val="auto"/>
          <w:highlight w:val="none"/>
        </w:rPr>
      </w:pPr>
      <w:r>
        <w:rPr>
          <w:color w:val="auto"/>
          <w:highlight w:val="none"/>
        </w:rPr>
      </w:r>
      <w:r/>
    </w:p>
    <w:p>
      <w:pPr>
        <w:ind w:left="2100" w:hanging="2100"/>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r/>
    </w:p>
    <w:p>
      <w:pPr>
        <w:rPr>
          <w:b/>
          <w:color w:val="auto"/>
          <w:sz w:val="30"/>
          <w:szCs w:val="30"/>
          <w:highlight w:val="none"/>
        </w:rPr>
      </w:pPr>
      <w:r>
        <w:rPr>
          <w:rFonts w:ascii="宋体" w:hAnsi="宋体" w:cs="宋体"/>
          <w:color w:val="auto"/>
          <w:highlight w:val="none"/>
        </w:rPr>
      </w:r>
      <w:r>
        <w:rPr>
          <w:rFonts w:ascii="宋体" w:hAnsi="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8" o:title=""/>
          </v:shape>
          <o:OLEObject DrawAspect="Content" r:id="rId19" ObjectID="_1525044" ProgID="MS_ClipArt_Gallery" ShapeID="_x0000_i4" Type="Embed"/>
        </w:object>
      </w:r>
      <w:r/>
    </w:p>
    <w:p>
      <w:pPr>
        <w:jc w:val="cente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pStyle w:val="1127"/>
        <w:ind w:firstLine="0"/>
        <w:jc w:val="center"/>
        <w:spacing w:before="0" w:after="0"/>
        <w:rPr>
          <w:rFonts w:hint="eastAsia" w:ascii="宋体" w:hAnsi="宋体" w:cs="宋体"/>
          <w:b/>
          <w:bCs/>
          <w:color w:val="auto"/>
          <w:sz w:val="32"/>
          <w:highlight w:val="none"/>
        </w:rPr>
      </w:pPr>
      <w:r>
        <w:rPr>
          <w:rFonts w:hint="eastAsia" w:ascii="宋体" w:hAnsi="宋体" w:cs="宋体"/>
          <w:b/>
          <w:bCs/>
          <w:color w:val="auto"/>
          <w:sz w:val="32"/>
          <w:highlight w:val="none"/>
        </w:rPr>
      </w:r>
      <w:r/>
    </w:p>
    <w:p>
      <w:pPr>
        <w:ind w:firstLine="1807"/>
        <w:spacing w:line="360" w:lineRule="auto"/>
        <w:rPr>
          <w:rFonts w:hint="eastAsia" w:ascii="宋体" w:hAnsi="宋体" w:cs="宋体"/>
          <w:b/>
          <w:bCs/>
          <w:color w:val="auto"/>
          <w:sz w:val="30"/>
          <w:szCs w:val="30"/>
          <w:highlight w:val="none"/>
          <w:u w:val="single"/>
        </w:rPr>
      </w:pPr>
      <w:r>
        <w:rPr>
          <w:rFonts w:hint="eastAsia" w:ascii="宋体" w:hAnsi="宋体" w:cs="宋体"/>
          <w:b/>
          <w:bCs/>
          <w:color w:val="auto"/>
          <w:sz w:val="30"/>
          <w:szCs w:val="30"/>
          <w:highlight w:val="none"/>
        </w:rPr>
        <w:t xml:space="preserve">采购单位：</w:t>
      </w:r>
      <w:r>
        <w:rPr>
          <w:rFonts w:hint="eastAsia" w:ascii="宋体" w:hAnsi="宋体" w:cs="宋体"/>
          <w:b/>
          <w:bCs/>
          <w:color w:val="auto"/>
          <w:sz w:val="30"/>
          <w:szCs w:val="30"/>
          <w:highlight w:val="none"/>
          <w:u w:val="single"/>
        </w:rPr>
        <w:t xml:space="preserve">南通市通州区川姜镇人民政府</w:t>
      </w:r>
      <w:r/>
    </w:p>
    <w:p>
      <w:pPr>
        <w:pStyle w:val="1127"/>
        <w:ind w:firstLine="0"/>
        <w:jc w:val="center"/>
        <w:spacing w:before="0" w:after="0"/>
        <w:rPr>
          <w:rFonts w:hint="eastAsia" w:ascii="宋体" w:hAnsi="宋体" w:cs="宋体"/>
          <w:b/>
          <w:bCs/>
          <w:color w:val="auto"/>
          <w:sz w:val="30"/>
          <w:szCs w:val="30"/>
          <w:highlight w:val="none"/>
          <w:u w:val="single"/>
        </w:rPr>
      </w:pPr>
      <w:r>
        <w:rPr>
          <w:rFonts w:hint="eastAsia" w:ascii="宋体" w:hAnsi="宋体" w:cs="宋体"/>
          <w:b/>
          <w:bCs/>
          <w:color w:val="auto"/>
          <w:sz w:val="30"/>
          <w:szCs w:val="30"/>
          <w:highlight w:val="none"/>
        </w:rPr>
        <w:t xml:space="preserve">   采购代理：</w:t>
      </w:r>
      <w:r>
        <w:rPr>
          <w:rFonts w:hint="eastAsia" w:ascii="宋体" w:hAnsi="宋体" w:cs="宋体"/>
          <w:b/>
          <w:bCs/>
          <w:color w:val="auto"/>
          <w:sz w:val="30"/>
          <w:szCs w:val="30"/>
          <w:highlight w:val="none"/>
          <w:u w:val="single"/>
        </w:rPr>
        <w:t xml:space="preserve">南通建仁房地产评估工程项目管理有限公司</w:t>
      </w:r>
      <w:r/>
    </w:p>
    <w:p>
      <w:pPr>
        <w:pStyle w:val="1127"/>
        <w:ind w:firstLine="0"/>
        <w:jc w:val="center"/>
        <w:spacing w:before="0" w:after="0"/>
        <w:rPr>
          <w:rFonts w:hint="eastAsia" w:ascii="宋体" w:hAnsi="宋体" w:cs="宋体"/>
          <w:b/>
          <w:bCs/>
          <w:color w:val="auto"/>
          <w:sz w:val="32"/>
          <w:highlight w:val="none"/>
        </w:rPr>
        <w:sectPr>
          <w:footerReference w:type="first" r:id="rId11"/>
          <w:footnotePr/>
          <w:endnotePr/>
          <w:type w:val="nextPage"/>
          <w:pgSz w:w="11906" w:h="16838" w:orient="portrait"/>
          <w:pgMar w:top="1418" w:right="1555" w:bottom="1418" w:left="1531" w:header="851" w:footer="992" w:gutter="0"/>
          <w:rtlGutter/>
          <w:cols w:num="1" w:sep="0" w:space="1701" w:equalWidth="1"/>
          <w:docGrid w:linePitch="360"/>
          <w:titlePg/>
        </w:sectPr>
      </w:pPr>
      <w:r>
        <w:rPr>
          <w:rFonts w:hint="eastAsia" w:ascii="宋体" w:hAnsi="宋体" w:cs="宋体"/>
          <w:b/>
          <w:bCs/>
          <w:color w:val="auto"/>
          <w:sz w:val="32"/>
          <w:highlight w:val="none"/>
        </w:rPr>
        <w:t xml:space="preserve">2026年</w:t>
      </w:r>
      <w:r>
        <w:rPr>
          <w:rFonts w:hint="eastAsia" w:ascii="宋体" w:hAnsi="宋体" w:cs="宋体"/>
          <w:b/>
          <w:bCs/>
          <w:color w:val="auto"/>
          <w:sz w:val="32"/>
          <w:highlight w:val="none"/>
          <w:lang w:val="en-US" w:eastAsia="zh-CN"/>
        </w:rPr>
        <w:t xml:space="preserve">2</w:t>
      </w:r>
      <w:r>
        <w:rPr>
          <w:rFonts w:hint="eastAsia" w:ascii="宋体" w:hAnsi="宋体" w:cs="宋体"/>
          <w:b/>
          <w:bCs/>
          <w:color w:val="auto"/>
          <w:sz w:val="32"/>
          <w:highlight w:val="none"/>
        </w:rPr>
        <w:t xml:space="preserve">月</w:t>
      </w:r>
      <w:r/>
    </w:p>
    <w:p>
      <w:pPr>
        <w:jc w:val="center"/>
        <w:spacing w:line="520" w:lineRule="exact"/>
        <w:rPr>
          <w:rFonts w:hint="eastAsia" w:ascii="宋体" w:hAnsi="宋体"/>
          <w:color w:val="auto"/>
          <w:sz w:val="30"/>
          <w:szCs w:val="30"/>
          <w:highlight w:val="none"/>
        </w:rPr>
      </w:pPr>
      <w:r>
        <w:rPr>
          <w:rFonts w:hint="eastAsia" w:ascii="宋体" w:hAnsi="宋体"/>
          <w:color w:val="auto"/>
          <w:sz w:val="30"/>
          <w:szCs w:val="30"/>
          <w:highlight w:val="none"/>
        </w:rPr>
        <w:t xml:space="preserve">招标文件备案表</w:t>
      </w:r>
      <w:r/>
    </w:p>
    <w:p>
      <w:pPr>
        <w:jc w:val="center"/>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7"/>
      </w:tblGrid>
      <w:tr>
        <w:trPr>
          <w:jc w:val="center"/>
        </w:trPr>
        <w:tc>
          <w:tcPr>
            <w:tcBorders>
              <w:top w:val="single" w:color="auto" w:sz="4" w:space="0"/>
              <w:left w:val="single" w:color="auto" w:sz="4" w:space="0"/>
              <w:bottom w:val="single" w:color="auto" w:sz="4" w:space="0"/>
              <w:right w:val="single" w:color="auto" w:sz="4" w:space="0"/>
            </w:tcBorders>
            <w:tcW w:w="8687" w:type="dxa"/>
            <w:textDirection w:val="lrTb"/>
            <w:noWrap w:val="false"/>
          </w:tcPr>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s="宋体"/>
                <w:color w:val="auto"/>
                <w:sz w:val="28"/>
                <w:szCs w:val="28"/>
                <w:highlight w:val="none"/>
                <w:lang w:bidi="ar"/>
              </w:rPr>
              <w:t xml:space="preserve">招标代理：</w:t>
            </w:r>
            <w:r>
              <w:rPr>
                <w:rFonts w:ascii="宋体" w:hAnsi="宋体"/>
                <w:color w:val="auto"/>
                <w:sz w:val="28"/>
                <w:szCs w:val="28"/>
                <w:highlight w:val="none"/>
                <w:lang w:bidi="ar"/>
              </w:rPr>
              <w:t xml:space="preserve">(</w:t>
            </w:r>
            <w:r>
              <w:rPr>
                <w:rFonts w:hint="eastAsia" w:ascii="宋体" w:hAnsi="宋体" w:cs="宋体"/>
                <w:color w:val="auto"/>
                <w:sz w:val="28"/>
                <w:szCs w:val="28"/>
                <w:highlight w:val="none"/>
                <w:lang w:bidi="ar"/>
              </w:rPr>
              <w:t xml:space="preserve">盖章</w:t>
            </w:r>
            <w:r>
              <w:rPr>
                <w:rFonts w:ascii="宋体" w:hAnsi="宋体"/>
                <w:color w:val="auto"/>
                <w:sz w:val="28"/>
                <w:szCs w:val="28"/>
                <w:highlight w:val="none"/>
                <w:lang w:bidi="ar"/>
              </w:rPr>
              <w:t xml:space="preserve">)</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s="宋体"/>
                <w:color w:val="auto"/>
                <w:sz w:val="28"/>
                <w:szCs w:val="28"/>
                <w:highlight w:val="none"/>
                <w:lang w:bidi="ar"/>
              </w:rPr>
              <w:t xml:space="preserve">编制人：陈柯柯</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bidi="ar"/>
              </w:rPr>
              <w:t xml:space="preserve">日期：202</w:t>
            </w:r>
            <w:r>
              <w:rPr>
                <w:rFonts w:hint="eastAsia" w:ascii="宋体" w:hAnsi="宋体" w:cs="宋体"/>
                <w:color w:val="auto"/>
                <w:sz w:val="28"/>
                <w:szCs w:val="28"/>
                <w:highlight w:val="none"/>
                <w:lang w:val="en-US" w:eastAsia="zh-CN" w:bidi="ar"/>
              </w:rPr>
              <w:t xml:space="preserve">6</w:t>
            </w:r>
            <w:r>
              <w:rPr>
                <w:rFonts w:hint="eastAsia" w:ascii="宋体" w:hAnsi="宋体" w:cs="宋体"/>
                <w:color w:val="auto"/>
                <w:sz w:val="28"/>
                <w:szCs w:val="28"/>
                <w:highlight w:val="none"/>
                <w:lang w:bidi="ar"/>
              </w:rPr>
              <w:t xml:space="preserve">年</w:t>
            </w:r>
            <w:r>
              <w:rPr>
                <w:rFonts w:hint="eastAsia" w:ascii="宋体" w:hAnsi="宋体" w:cs="宋体"/>
                <w:color w:val="auto"/>
                <w:sz w:val="28"/>
                <w:szCs w:val="28"/>
                <w:highlight w:val="none"/>
                <w:lang w:val="en-US" w:eastAsia="zh-CN" w:bidi="ar"/>
              </w:rPr>
              <w:t xml:space="preserve">2</w:t>
            </w:r>
            <w:r>
              <w:rPr>
                <w:rFonts w:hint="eastAsia" w:ascii="宋体" w:hAnsi="宋体" w:cs="宋体"/>
                <w:color w:val="auto"/>
                <w:sz w:val="28"/>
                <w:szCs w:val="28"/>
                <w:highlight w:val="none"/>
                <w:lang w:bidi="ar"/>
              </w:rPr>
              <w:t xml:space="preserve">月</w:t>
            </w:r>
            <w:r>
              <w:rPr>
                <w:rFonts w:hint="eastAsia" w:ascii="宋体" w:hAnsi="宋体" w:cs="宋体"/>
                <w:color w:val="auto"/>
                <w:sz w:val="28"/>
                <w:szCs w:val="28"/>
                <w:highlight w:val="none"/>
                <w:lang w:val="en-US" w:eastAsia="zh-CN" w:bidi="ar"/>
              </w:rPr>
              <w:t xml:space="preserve">11</w:t>
            </w:r>
            <w:r>
              <w:rPr>
                <w:rFonts w:hint="eastAsia" w:ascii="宋体" w:hAnsi="宋体" w:cs="宋体"/>
                <w:color w:val="auto"/>
                <w:sz w:val="28"/>
                <w:szCs w:val="28"/>
                <w:highlight w:val="none"/>
                <w:lang w:bidi="ar"/>
              </w:rPr>
              <w:t xml:space="preserve">日</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242"/>
        </w:trPr>
        <w:tc>
          <w:tcPr>
            <w:tcBorders>
              <w:top w:val="single" w:color="auto" w:sz="4" w:space="0"/>
              <w:left w:val="single" w:color="auto" w:sz="4" w:space="0"/>
              <w:bottom w:val="single" w:color="auto" w:sz="4" w:space="0"/>
              <w:right w:val="single" w:color="auto" w:sz="4" w:space="0"/>
            </w:tcBorders>
            <w:tcW w:w="8687" w:type="dxa"/>
            <w:textDirection w:val="lrTb"/>
            <w:noWrap w:val="false"/>
          </w:tcPr>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bidi="ar"/>
              </w:rPr>
              <w:t xml:space="preserve">采购人：</w:t>
            </w:r>
            <w:r>
              <w:rPr>
                <w:rFonts w:ascii="宋体" w:hAnsi="宋体"/>
                <w:color w:val="auto"/>
                <w:sz w:val="28"/>
                <w:szCs w:val="28"/>
                <w:highlight w:val="none"/>
                <w:lang w:bidi="ar"/>
              </w:rPr>
              <w:t xml:space="preserve">(</w:t>
            </w:r>
            <w:r>
              <w:rPr>
                <w:rFonts w:hint="eastAsia" w:ascii="宋体" w:hAnsi="宋体" w:cs="宋体"/>
                <w:color w:val="auto"/>
                <w:sz w:val="28"/>
                <w:szCs w:val="28"/>
                <w:highlight w:val="none"/>
                <w:lang w:bidi="ar"/>
              </w:rPr>
              <w:t xml:space="preserve">盖章</w:t>
            </w:r>
            <w:r>
              <w:rPr>
                <w:rFonts w:ascii="宋体" w:hAnsi="宋体"/>
                <w:color w:val="auto"/>
                <w:sz w:val="28"/>
                <w:szCs w:val="28"/>
                <w:highlight w:val="none"/>
                <w:lang w:bidi="ar"/>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bidi="ar"/>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lang w:bidi="ar"/>
              </w:rPr>
              <w:t xml:space="preserve">审阅人（签字）：</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8"/>
                <w:szCs w:val="28"/>
                <w:highlight w:val="none"/>
                <w:lang w:bidi="ar"/>
              </w:rPr>
              <w:t xml:space="preserve">日期：</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jc w:val="center"/>
        <w:spacing w:before="120" w:after="120" w:line="360" w:lineRule="auto"/>
        <w:rPr>
          <w:rFonts w:ascii="黑体" w:hAnsi="Arial" w:eastAsia="黑体"/>
          <w:b/>
          <w:color w:val="auto"/>
          <w:sz w:val="44"/>
          <w:szCs w:val="21"/>
          <w:highlight w:val="none"/>
        </w:rPr>
      </w:pPr>
      <w:r>
        <w:rPr>
          <w:rFonts w:ascii="宋体" w:hAnsi="宋体"/>
          <w:b/>
          <w:bCs/>
          <w:color w:val="auto"/>
          <w:sz w:val="32"/>
          <w:szCs w:val="32"/>
          <w:highlight w:val="none"/>
        </w:rPr>
        <w:br w:type="page" w:clear="all"/>
      </w:r>
      <w:r/>
    </w:p>
    <w:p>
      <w:pPr>
        <w:jc w:val="center"/>
        <w:rPr>
          <w:rFonts w:ascii="黑体" w:hAnsi="Arial" w:eastAsia="黑体"/>
          <w:b/>
          <w:color w:val="auto"/>
          <w:sz w:val="44"/>
          <w:szCs w:val="21"/>
          <w:highlight w:val="none"/>
        </w:rPr>
      </w:pPr>
      <w:r>
        <w:rPr>
          <w:rFonts w:ascii="黑体" w:hAnsi="Arial" w:eastAsia="黑体"/>
          <w:b/>
          <w:color w:val="auto"/>
          <w:sz w:val="44"/>
          <w:szCs w:val="21"/>
          <w:highlight w:val="none"/>
        </w:rPr>
      </w:r>
      <w:r/>
    </w:p>
    <w:p>
      <w:pPr>
        <w:jc w:val="center"/>
        <w:rPr>
          <w:rFonts w:hint="eastAsia" w:ascii="宋体" w:hAnsi="宋体" w:cs="宋体"/>
          <w:b/>
          <w:color w:val="auto"/>
          <w:sz w:val="44"/>
          <w:szCs w:val="21"/>
          <w:highlight w:val="none"/>
        </w:rPr>
      </w:pPr>
      <w:r>
        <w:rPr>
          <w:rFonts w:hint="eastAsia" w:ascii="宋体" w:hAnsi="宋体" w:cs="宋体"/>
          <w:b/>
          <w:color w:val="auto"/>
          <w:sz w:val="44"/>
          <w:szCs w:val="21"/>
          <w:highlight w:val="none"/>
        </w:rPr>
        <w:t xml:space="preserve">总  目  录</w:t>
      </w:r>
      <w:r/>
    </w:p>
    <w:p>
      <w:pPr>
        <w:spacing w:line="48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r>
      <w:r/>
    </w:p>
    <w:p>
      <w:pPr>
        <w:numPr>
          <w:ilvl w:val="0"/>
          <w:numId w:val="4"/>
        </w:numPr>
        <w:spacing w:line="480" w:lineRule="auto"/>
        <w:rPr>
          <w:rFonts w:hint="eastAsia" w:ascii="宋体" w:hAnsi="宋体" w:cs="宋体"/>
          <w:color w:val="auto"/>
          <w:sz w:val="32"/>
          <w:szCs w:val="21"/>
          <w:highlight w:val="none"/>
        </w:rPr>
        <w:outlineLvl w:val="0"/>
      </w:pPr>
      <w:r>
        <w:rPr>
          <w:rFonts w:hint="eastAsia" w:ascii="宋体" w:hAnsi="宋体" w:cs="宋体"/>
          <w:color w:val="auto"/>
          <w:sz w:val="36"/>
          <w:szCs w:val="21"/>
          <w:highlight w:val="none"/>
        </w:rPr>
        <w:t xml:space="preserve">磋商邀请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供应商须知</w:t>
      </w:r>
      <w:r>
        <w:rPr>
          <w:rFonts w:hint="eastAsia" w:ascii="宋体" w:hAnsi="宋体" w:cs="宋体"/>
          <w:color w:val="auto"/>
          <w:sz w:val="36"/>
          <w:szCs w:val="21"/>
          <w:highlight w:val="none"/>
        </w:rPr>
        <w:t xml:space="preserve">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合同文本</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采购需求</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评审方法与评审标准</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响应文件格式</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center"/>
        <w:keepNext/>
        <w:rPr>
          <w:rFonts w:ascii="黑体" w:eastAsia="黑体"/>
          <w:color w:val="auto"/>
          <w:sz w:val="44"/>
          <w:szCs w:val="44"/>
          <w:highlight w:val="none"/>
        </w:rPr>
        <w:sectPr>
          <w:headerReference w:type="default" r:id="rId9"/>
          <w:footerReference w:type="default" r:id="rId12"/>
          <w:footnotePr/>
          <w:endnotePr/>
          <w:type w:val="nextPage"/>
          <w:pgSz w:w="11907" w:h="16840" w:orient="portrait"/>
          <w:pgMar w:top="1429" w:right="1531" w:bottom="1417" w:left="1587" w:header="851" w:footer="851" w:gutter="0"/>
          <w:cols w:num="1" w:sep="0" w:space="1701" w:equalWidth="1"/>
          <w:docGrid w:linePitch="360"/>
        </w:sectPr>
        <w:outlineLvl w:val="0"/>
      </w:pPr>
      <w:r>
        <w:rPr>
          <w:rFonts w:ascii="黑体" w:eastAsia="黑体"/>
          <w:color w:val="auto"/>
          <w:sz w:val="44"/>
          <w:szCs w:val="44"/>
          <w:highlight w:val="none"/>
        </w:rPr>
      </w:r>
      <w:r/>
    </w:p>
    <w:p>
      <w:pPr>
        <w:ind w:firstLine="643"/>
        <w:jc w:val="center"/>
        <w:keepNext/>
        <w:spacing w:line="360" w:lineRule="auto"/>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第一章  </w:t>
      </w:r>
      <w:bookmarkEnd w:id="0"/>
      <w:r>
        <w:rPr>
          <w:rFonts w:hint="eastAsia" w:ascii="宋体" w:hAnsi="宋体" w:cs="宋体"/>
          <w:b/>
          <w:bCs/>
          <w:color w:val="auto"/>
          <w:sz w:val="32"/>
          <w:szCs w:val="32"/>
          <w:highlight w:val="none"/>
        </w:rPr>
        <w:t xml:space="preserve">磋商邀请</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受[南通市通州区川姜镇人民政府]的委托，南通建仁房地产评估工程项目管理有限公司就[</w:t>
      </w:r>
      <w:r>
        <w:rPr>
          <w:rFonts w:hint="eastAsia" w:ascii="宋体" w:hAnsi="宋体" w:cs="宋体"/>
          <w:color w:val="auto"/>
          <w:sz w:val="24"/>
          <w:szCs w:val="24"/>
          <w:highlight w:val="none"/>
          <w:lang w:eastAsia="zh-CN"/>
        </w:rPr>
        <w:t xml:space="preserve">川姜镇2026-2028年度安置小区电梯“保险+服务”项目（第三次）</w:t>
      </w:r>
      <w:r>
        <w:rPr>
          <w:rFonts w:hint="eastAsia" w:ascii="宋体" w:hAnsi="宋体" w:cs="宋体"/>
          <w:color w:val="auto"/>
          <w:sz w:val="24"/>
          <w:szCs w:val="24"/>
          <w:highlight w:val="none"/>
        </w:rPr>
        <w:t xml:space="preserve">]([项目编号：JSZC-320612-NTJR-C2026-0003])实施政府采购，本次采购采用竞争性磋商方式，欢迎符合条件的供应商参加磋商。</w:t>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川姜镇2026-2028年度安置小区电梯“保险+服务”项目（第三次）</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 竞争性磋商项目的潜在供应商可在</w:t>
      </w:r>
      <w:r>
        <w:rPr>
          <w:rFonts w:hint="eastAsia" w:ascii="宋体" w:hAnsi="宋体" w:cs="宋体"/>
          <w:color w:val="auto"/>
          <w:sz w:val="24"/>
          <w:szCs w:val="24"/>
          <w:highlight w:val="none"/>
          <w:u w:val="single"/>
        </w:rPr>
        <w:t xml:space="preserve">“江苏政府采购网”自行免费下载</w:t>
      </w:r>
      <w:r>
        <w:rPr>
          <w:rFonts w:hint="eastAsia" w:ascii="宋体" w:hAnsi="宋体" w:cs="宋体"/>
          <w:color w:val="auto"/>
          <w:sz w:val="24"/>
          <w:szCs w:val="24"/>
          <w:highlight w:val="none"/>
        </w:rPr>
        <w:t xml:space="preserve">磋商文件，并于</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2</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28</w:t>
      </w:r>
      <w:r>
        <w:rPr>
          <w:rFonts w:hint="eastAsia" w:ascii="宋体" w:hAnsi="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w:t>
      </w:r>
      <w:r>
        <w:rPr>
          <w:rFonts w:hint="eastAsia" w:ascii="宋体" w:hAnsi="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w:t>
      </w:r>
      <w:r>
        <w:rPr>
          <w:rFonts w:hint="eastAsia" w:ascii="宋体" w:hAnsi="宋体" w:cs="宋体"/>
          <w:bCs/>
          <w:color w:val="auto"/>
          <w:sz w:val="24"/>
          <w:szCs w:val="24"/>
          <w:highlight w:val="none"/>
          <w:u w:val="single"/>
        </w:rPr>
        <w:t xml:space="preserve">0分（</w:t>
      </w:r>
      <w:r>
        <w:rPr>
          <w:rFonts w:hint="eastAsia" w:ascii="宋体" w:hAnsi="宋体" w:cs="宋体"/>
          <w:bCs/>
          <w:color w:val="auto"/>
          <w:sz w:val="24"/>
          <w:szCs w:val="24"/>
          <w:highlight w:val="none"/>
        </w:rPr>
        <w:t xml:space="preserve">北京时间）前递交响应文件</w:t>
      </w:r>
      <w:r>
        <w:rPr>
          <w:rFonts w:hint="eastAsia" w:ascii="宋体" w:hAnsi="宋体" w:cs="宋体"/>
          <w:color w:val="auto"/>
          <w:sz w:val="24"/>
          <w:szCs w:val="24"/>
          <w:highlight w:val="none"/>
        </w:rPr>
        <w:t xml:space="preserve">。</w:t>
      </w:r>
      <w:r/>
    </w:p>
    <w:p>
      <w:pPr>
        <w:keepLines/>
        <w:keepNext/>
        <w:spacing w:before="145" w:after="145" w:line="360" w:lineRule="auto"/>
        <w:rPr>
          <w:rFonts w:hint="eastAsia" w:ascii="宋体" w:hAnsi="宋体" w:cs="宋体"/>
          <w:b/>
          <w:bCs/>
          <w:color w:val="auto"/>
          <w:sz w:val="24"/>
          <w:szCs w:val="24"/>
          <w:highlight w:val="none"/>
        </w:rPr>
        <w:outlineLvl w:val="2"/>
      </w:pPr>
      <w:r/>
      <w:bookmarkStart w:id="6" w:name="_Toc35393621"/>
      <w:r/>
      <w:bookmarkStart w:id="7" w:name="_Toc28359079"/>
      <w:r/>
      <w:bookmarkStart w:id="8" w:name="_Toc38985263"/>
      <w:r/>
      <w:bookmarkStart w:id="9" w:name="_Toc35393790"/>
      <w:r/>
      <w:bookmarkStart w:id="10" w:name="_Toc28359002"/>
      <w:r/>
      <w:bookmarkStart w:id="11" w:name="_Hlk24379207"/>
      <w:r>
        <w:rPr>
          <w:rFonts w:hint="eastAsia" w:ascii="宋体" w:hAnsi="宋体" w:cs="宋体"/>
          <w:b/>
          <w:bCs/>
          <w:color w:val="auto"/>
          <w:sz w:val="24"/>
          <w:szCs w:val="24"/>
          <w:highlight w:val="none"/>
        </w:rPr>
        <w:t xml:space="preserve">一、项目基本情况</w:t>
      </w:r>
      <w:bookmarkEnd w:id="6"/>
      <w:r/>
      <w:bookmarkEnd w:id="7"/>
      <w:r/>
      <w:bookmarkEnd w:id="8"/>
      <w:r/>
      <w:bookmarkEnd w:id="9"/>
      <w:r/>
      <w:bookmarkEnd w:id="10"/>
      <w:r/>
      <w:bookmarkEnd w:id="11"/>
      <w:r/>
      <w:r/>
    </w:p>
    <w:p>
      <w:pPr>
        <w:ind w:firstLine="480"/>
        <w:spacing w:line="360" w:lineRule="auto"/>
        <w:rPr>
          <w:rFonts w:hint="eastAsia" w:ascii="宋体" w:hAnsi="宋体" w:cs="宋体"/>
          <w:color w:val="auto"/>
          <w:sz w:val="24"/>
          <w:szCs w:val="24"/>
          <w:highlight w:val="none"/>
        </w:rPr>
      </w:pPr>
      <w:r/>
      <w:bookmarkStart w:id="12" w:name="_Toc38985264"/>
      <w:r/>
      <w:bookmarkStart w:id="13" w:name="_Toc28359003"/>
      <w:r/>
      <w:bookmarkStart w:id="14" w:name="_Toc35393622"/>
      <w:r/>
      <w:bookmarkStart w:id="15" w:name="_Toc28359080"/>
      <w:r/>
      <w:bookmarkStart w:id="16" w:name="_Toc35393791"/>
      <w:r>
        <w:rPr>
          <w:rFonts w:hint="eastAsia" w:ascii="宋体" w:hAnsi="宋体" w:cs="宋体"/>
          <w:color w:val="auto"/>
          <w:sz w:val="24"/>
          <w:szCs w:val="24"/>
          <w:highlight w:val="none"/>
        </w:rPr>
        <w:t xml:space="preserve">1.项目编号：JSZC-320612-NTJR-C2026-0003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川姜镇2026-2028年度安置小区电梯“保险+服务”项目（第三次）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4.项目类型：服务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5.项目所属行业：其他未列明行业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6.预算金额：</w:t>
      </w:r>
      <w:r>
        <w:rPr>
          <w:rFonts w:hint="eastAsia" w:ascii="宋体" w:hAnsi="宋体" w:cs="宋体"/>
          <w:color w:val="auto"/>
          <w:sz w:val="24"/>
          <w:szCs w:val="24"/>
          <w:highlight w:val="none"/>
          <w:lang w:val="en-US" w:eastAsia="zh-CN"/>
        </w:rPr>
        <w:t xml:space="preserve">105.6</w:t>
      </w:r>
      <w:r>
        <w:rPr>
          <w:rFonts w:hint="eastAsia" w:ascii="宋体" w:hAnsi="宋体" w:cs="宋体"/>
          <w:color w:val="auto"/>
          <w:sz w:val="24"/>
          <w:szCs w:val="24"/>
          <w:highlight w:val="none"/>
        </w:rPr>
        <w:t xml:space="preserve">万元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7.最高限价：综合单价5500元/台/年。投标报价超过最高限价的投标将作为无效投标处理。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需求：川姜镇安置小区电梯共192台电梯，为进一步加强电梯质量安全工作，保障人民群众乘用安全和出行便利，通过推动发展电梯责任保险优化发展“保险+服务”新模式,发挥保险的事故赔偿和风险预防作用,促进电梯使用管理和维保水平提升。详见第四章项目需求。</w:t>
      </w:r>
      <w:r/>
    </w:p>
    <w:tbl>
      <w:tblPr>
        <w:tblStyle w:val="879"/>
        <w:tblW w:w="8600" w:type="dxa"/>
        <w:tblInd w:w="113" w:type="dxa"/>
        <w:tblLayout w:type="autofit"/>
        <w:tblCellMar>
          <w:left w:w="108" w:type="dxa"/>
          <w:top w:w="0" w:type="dxa"/>
          <w:right w:w="108" w:type="dxa"/>
          <w:bottom w:w="0" w:type="dxa"/>
        </w:tblCellMar>
        <w:tblLook w:val="04A0" w:firstRow="1" w:lastRow="0" w:firstColumn="1" w:lastColumn="0" w:noHBand="0" w:noVBand="1"/>
      </w:tblPr>
      <w:tblGrid>
        <w:gridCol w:w="980"/>
        <w:gridCol w:w="1720"/>
        <w:gridCol w:w="1340"/>
        <w:gridCol w:w="3340"/>
        <w:gridCol w:w="1220"/>
      </w:tblGrid>
      <w:tr>
        <w:trPr>
          <w:trHeight w:val="288"/>
        </w:trPr>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序号</w:t>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小区名称</w:t>
            </w:r>
            <w:r/>
          </w:p>
        </w:tc>
        <w:tc>
          <w:tcPr>
            <w:tcBorders>
              <w:top w:val="single" w:color="auto" w:sz="4" w:space="0"/>
              <w:left w:val="none" w:color="000000" w:sz="4" w:space="0"/>
              <w:bottom w:val="single" w:color="auto" w:sz="4" w:space="0"/>
              <w:right w:val="single" w:color="auto" w:sz="4" w:space="0"/>
            </w:tcBorders>
            <w:tcW w:w="1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品牌</w:t>
            </w:r>
            <w:r/>
          </w:p>
        </w:tc>
        <w:tc>
          <w:tcPr>
            <w:tcBorders>
              <w:top w:val="single" w:color="auto" w:sz="4" w:space="0"/>
              <w:left w:val="none" w:color="000000" w:sz="4" w:space="0"/>
              <w:bottom w:val="single" w:color="auto" w:sz="4" w:space="0"/>
              <w:right w:val="single" w:color="auto" w:sz="4" w:space="0"/>
            </w:tcBorders>
            <w:tcW w:w="3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型号</w:t>
            </w:r>
            <w:r/>
          </w:p>
        </w:tc>
        <w:tc>
          <w:tcPr>
            <w:tcBorders>
              <w:top w:val="single" w:color="auto" w:sz="4" w:space="0"/>
              <w:left w:val="none" w:color="000000" w:sz="4" w:space="0"/>
              <w:bottom w:val="single" w:color="auto" w:sz="4" w:space="0"/>
              <w:right w:val="single" w:color="auto" w:sz="4" w:space="0"/>
            </w:tcBorders>
            <w:tcW w:w="12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台量（台）</w:t>
            </w:r>
            <w:r/>
          </w:p>
        </w:tc>
      </w:tr>
      <w:tr>
        <w:trPr>
          <w:trHeight w:val="288"/>
        </w:trPr>
        <w:tc>
          <w:tcPr>
            <w:tcBorders>
              <w:top w:val="none" w:color="000000" w:sz="4" w:space="0"/>
              <w:left w:val="single" w:color="auto" w:sz="4" w:space="0"/>
              <w:bottom w:val="single" w:color="auto" w:sz="4" w:space="0"/>
              <w:right w:val="single" w:color="auto" w:sz="4" w:space="0"/>
            </w:tcBorders>
            <w:tcW w:w="98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志南花苑</w:t>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通力</w:t>
            </w:r>
            <w:r/>
          </w:p>
        </w:tc>
        <w:tc>
          <w:tcPr>
            <w:tcBorders>
              <w:top w:val="none" w:color="000000" w:sz="4" w:space="0"/>
              <w:left w:val="none" w:color="000000" w:sz="4" w:space="0"/>
              <w:bottom w:val="single" w:color="auto" w:sz="4" w:space="0"/>
              <w:right w:val="single" w:color="auto" w:sz="4" w:space="0"/>
            </w:tcBorders>
            <w:tcW w:w="3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KONE MiniSpace（TKJ800/1.0）</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40</w:t>
            </w:r>
            <w:r/>
          </w:p>
        </w:tc>
      </w:tr>
      <w:tr>
        <w:trPr>
          <w:trHeight w:val="312"/>
        </w:trPr>
        <w:tc>
          <w:tcPr>
            <w:tcBorders>
              <w:top w:val="none" w:color="000000" w:sz="4" w:space="0"/>
              <w:left w:val="single" w:color="auto" w:sz="4" w:space="0"/>
              <w:bottom w:val="single" w:color="auto" w:sz="4" w:space="0"/>
              <w:right w:val="single" w:color="auto" w:sz="4" w:space="0"/>
            </w:tcBorders>
            <w:tcW w:w="98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姜灶花苑一期</w:t>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杭州西奥</w:t>
            </w:r>
            <w:r/>
          </w:p>
        </w:tc>
        <w:tc>
          <w:tcPr>
            <w:tcBorders>
              <w:top w:val="none" w:color="000000" w:sz="4" w:space="0"/>
              <w:left w:val="none" w:color="000000" w:sz="4" w:space="0"/>
              <w:bottom w:val="single" w:color="auto" w:sz="4" w:space="0"/>
              <w:right w:val="single" w:color="auto" w:sz="4" w:space="0"/>
            </w:tcBorders>
            <w:tcW w:w="334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XO-REBO</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40</w:t>
            </w:r>
            <w:r/>
          </w:p>
        </w:tc>
      </w:tr>
      <w:tr>
        <w:trPr>
          <w:trHeight w:val="288"/>
        </w:trPr>
        <w:tc>
          <w:tcPr>
            <w:tcBorders>
              <w:top w:val="none" w:color="000000" w:sz="4" w:space="0"/>
              <w:left w:val="single" w:color="auto" w:sz="4" w:space="0"/>
              <w:bottom w:val="single" w:color="auto" w:sz="4" w:space="0"/>
              <w:right w:val="single" w:color="auto" w:sz="4" w:space="0"/>
            </w:tcBorders>
            <w:tcW w:w="980" w:type="dxa"/>
            <w:vAlign w:val="center"/>
            <w:vMerge w:val="restart"/>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3</w:t>
            </w:r>
            <w:r/>
          </w:p>
        </w:tc>
        <w:tc>
          <w:tcPr>
            <w:tcBorders>
              <w:top w:val="none" w:color="000000" w:sz="4" w:space="0"/>
              <w:left w:val="single" w:color="auto" w:sz="4" w:space="0"/>
              <w:bottom w:val="single" w:color="auto" w:sz="4" w:space="0"/>
              <w:right w:val="single" w:color="auto" w:sz="4" w:space="0"/>
            </w:tcBorders>
            <w:tcW w:w="1720" w:type="dxa"/>
            <w:vAlign w:val="center"/>
            <w:vMerge w:val="restart"/>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姜灶花苑二期</w:t>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通力</w:t>
            </w:r>
            <w:r/>
          </w:p>
        </w:tc>
        <w:tc>
          <w:tcPr>
            <w:tcBorders>
              <w:top w:val="none" w:color="000000" w:sz="4" w:space="0"/>
              <w:left w:val="none" w:color="000000" w:sz="4" w:space="0"/>
              <w:bottom w:val="single" w:color="auto" w:sz="4" w:space="0"/>
              <w:right w:val="single" w:color="auto" w:sz="4" w:space="0"/>
            </w:tcBorders>
            <w:tcW w:w="3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KONE MiniSpace（TKJ800/1.0）</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20</w:t>
            </w:r>
            <w:r/>
          </w:p>
        </w:tc>
      </w:tr>
      <w:tr>
        <w:trPr>
          <w:trHeight w:val="312"/>
        </w:trPr>
        <w:tc>
          <w:tcPr>
            <w:tcBorders>
              <w:top w:val="none" w:color="000000" w:sz="4" w:space="0"/>
              <w:left w:val="single" w:color="auto" w:sz="4" w:space="0"/>
              <w:bottom w:val="single" w:color="auto" w:sz="4" w:space="0"/>
              <w:right w:val="single" w:color="auto" w:sz="4" w:space="0"/>
            </w:tcBorders>
            <w:tcW w:w="980" w:type="dxa"/>
            <w:vAlign w:val="center"/>
            <w:vMerge w:val="continue"/>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none" w:color="000000"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蒂森</w:t>
            </w:r>
            <w:r/>
          </w:p>
        </w:tc>
        <w:tc>
          <w:tcPr>
            <w:tcBorders>
              <w:top w:val="none" w:color="000000" w:sz="4" w:space="0"/>
              <w:left w:val="none" w:color="000000" w:sz="4" w:space="0"/>
              <w:bottom w:val="single" w:color="auto" w:sz="4" w:space="0"/>
              <w:right w:val="single" w:color="auto" w:sz="4" w:space="0"/>
            </w:tcBorders>
            <w:tcW w:w="334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RF1(TKJ800/1.0)</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6</w:t>
            </w:r>
            <w:r/>
          </w:p>
        </w:tc>
      </w:tr>
      <w:tr>
        <w:trPr>
          <w:trHeight w:val="312"/>
        </w:trPr>
        <w:tc>
          <w:tcPr>
            <w:tcBorders>
              <w:top w:val="none" w:color="000000" w:sz="4" w:space="0"/>
              <w:left w:val="single" w:color="auto" w:sz="4" w:space="0"/>
              <w:bottom w:val="single" w:color="auto" w:sz="4" w:space="0"/>
              <w:right w:val="single" w:color="auto" w:sz="4" w:space="0"/>
            </w:tcBorders>
            <w:tcW w:w="980" w:type="dxa"/>
            <w:vAlign w:val="center"/>
            <w:vMerge w:val="restart"/>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4</w:t>
            </w:r>
            <w:r/>
          </w:p>
        </w:tc>
        <w:tc>
          <w:tcPr>
            <w:tcBorders>
              <w:top w:val="none" w:color="000000" w:sz="4" w:space="0"/>
              <w:left w:val="single" w:color="auto" w:sz="4" w:space="0"/>
              <w:bottom w:val="single" w:color="auto" w:sz="4" w:space="0"/>
              <w:right w:val="single" w:color="auto" w:sz="4" w:space="0"/>
            </w:tcBorders>
            <w:tcW w:w="1720" w:type="dxa"/>
            <w:vAlign w:val="center"/>
            <w:vMerge w:val="restart"/>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磨框小区三期</w:t>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蒙哥马利</w:t>
            </w:r>
            <w:r/>
          </w:p>
        </w:tc>
        <w:tc>
          <w:tcPr>
            <w:tcBorders>
              <w:top w:val="none" w:color="000000" w:sz="4" w:space="0"/>
              <w:left w:val="none" w:color="000000" w:sz="4" w:space="0"/>
              <w:bottom w:val="single" w:color="auto" w:sz="4" w:space="0"/>
              <w:right w:val="single" w:color="auto" w:sz="4" w:space="0"/>
            </w:tcBorders>
            <w:tcW w:w="334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TKJ1000/1.0-JXW(VVVF)</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15</w:t>
            </w:r>
            <w:r/>
          </w:p>
        </w:tc>
      </w:tr>
      <w:tr>
        <w:trPr>
          <w:trHeight w:val="312"/>
        </w:trPr>
        <w:tc>
          <w:tcPr>
            <w:tcBorders>
              <w:top w:val="none" w:color="000000" w:sz="4" w:space="0"/>
              <w:left w:val="single" w:color="auto" w:sz="4" w:space="0"/>
              <w:bottom w:val="single" w:color="auto" w:sz="4" w:space="0"/>
              <w:right w:val="single" w:color="auto" w:sz="4" w:space="0"/>
            </w:tcBorders>
            <w:tcW w:w="980" w:type="dxa"/>
            <w:vAlign w:val="center"/>
            <w:vMerge w:val="continue"/>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none" w:color="000000"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江南嘉捷</w:t>
            </w:r>
            <w:r/>
          </w:p>
        </w:tc>
        <w:tc>
          <w:tcPr>
            <w:tcBorders>
              <w:top w:val="none" w:color="000000" w:sz="4" w:space="0"/>
              <w:left w:val="none" w:color="000000" w:sz="4" w:space="0"/>
              <w:bottom w:val="single" w:color="auto" w:sz="4" w:space="0"/>
              <w:right w:val="single" w:color="auto" w:sz="4" w:space="0"/>
            </w:tcBorders>
            <w:tcW w:w="334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S830-JE</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10</w:t>
            </w:r>
            <w:r/>
          </w:p>
        </w:tc>
      </w:tr>
      <w:tr>
        <w:trPr>
          <w:trHeight w:val="288"/>
        </w:trPr>
        <w:tc>
          <w:tcPr>
            <w:tcBorders>
              <w:top w:val="none" w:color="000000" w:sz="4" w:space="0"/>
              <w:left w:val="single" w:color="auto" w:sz="4" w:space="0"/>
              <w:bottom w:val="single" w:color="auto" w:sz="4" w:space="0"/>
              <w:right w:val="single" w:color="auto" w:sz="4" w:space="0"/>
            </w:tcBorders>
            <w:tcW w:w="98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磨框小区四期</w:t>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迅达</w:t>
            </w:r>
            <w:r/>
          </w:p>
        </w:tc>
        <w:tc>
          <w:tcPr>
            <w:tcBorders>
              <w:top w:val="none" w:color="000000" w:sz="4" w:space="0"/>
              <w:left w:val="none" w:color="000000" w:sz="4" w:space="0"/>
              <w:bottom w:val="single" w:color="auto" w:sz="4" w:space="0"/>
              <w:right w:val="single" w:color="auto" w:sz="4" w:space="0"/>
            </w:tcBorders>
            <w:tcW w:w="3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Schindler 5200</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55</w:t>
            </w:r>
            <w:r/>
          </w:p>
        </w:tc>
      </w:tr>
      <w:tr>
        <w:trPr>
          <w:trHeight w:val="312"/>
        </w:trPr>
        <w:tc>
          <w:tcPr>
            <w:tcBorders>
              <w:top w:val="none" w:color="000000" w:sz="4" w:space="0"/>
              <w:left w:val="single" w:color="auto" w:sz="4" w:space="0"/>
              <w:bottom w:val="single" w:color="auto" w:sz="4" w:space="0"/>
              <w:right w:val="single" w:color="auto" w:sz="4" w:space="0"/>
            </w:tcBorders>
            <w:tcW w:w="98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姜居东苑</w:t>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蒙哥马利</w:t>
            </w:r>
            <w:r/>
          </w:p>
        </w:tc>
        <w:tc>
          <w:tcPr>
            <w:tcBorders>
              <w:top w:val="none" w:color="000000" w:sz="4" w:space="0"/>
              <w:left w:val="none" w:color="000000" w:sz="4" w:space="0"/>
              <w:bottom w:val="single" w:color="auto" w:sz="4" w:space="0"/>
              <w:right w:val="single" w:color="auto" w:sz="4" w:space="0"/>
            </w:tcBorders>
            <w:tcW w:w="334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TKJ800/1.0-JXW(VVVF)</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6</w:t>
            </w:r>
            <w:r/>
          </w:p>
        </w:tc>
      </w:tr>
      <w:tr>
        <w:trPr>
          <w:trHeight w:val="288"/>
        </w:trPr>
        <w:tc>
          <w:tcPr>
            <w:tcBorders>
              <w:top w:val="none" w:color="000000" w:sz="4" w:space="0"/>
              <w:left w:val="single" w:color="auto" w:sz="4" w:space="0"/>
              <w:bottom w:val="single" w:color="auto" w:sz="4" w:space="0"/>
              <w:right w:val="single" w:color="auto" w:sz="4" w:space="0"/>
            </w:tcBorders>
            <w:tcW w:w="98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合计</w:t>
            </w:r>
            <w:r/>
          </w:p>
        </w:tc>
        <w:tc>
          <w:tcPr>
            <w:tcBorders>
              <w:top w:val="none" w:color="000000" w:sz="4" w:space="0"/>
              <w:left w:val="none" w:color="000000" w:sz="4" w:space="0"/>
              <w:bottom w:val="single" w:color="auto" w:sz="4" w:space="0"/>
              <w:right w:val="single" w:color="auto" w:sz="4" w:space="0"/>
            </w:tcBorders>
            <w:tcW w:w="1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334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　</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tcPr>
          <w:p>
            <w:pPr>
              <w:jc w:val="center"/>
              <w:widowControl/>
              <w:rPr>
                <w:rFonts w:hint="eastAsia" w:ascii="宋体" w:hAnsi="宋体" w:cs="宋体"/>
                <w:color w:val="auto"/>
                <w:sz w:val="22"/>
                <w:highlight w:val="none"/>
              </w:rPr>
            </w:pPr>
            <w:r>
              <w:rPr>
                <w:rFonts w:hint="eastAsia" w:ascii="宋体" w:hAnsi="宋体" w:cs="宋体"/>
                <w:color w:val="auto"/>
                <w:sz w:val="22"/>
                <w:highlight w:val="none"/>
              </w:rPr>
              <w:t xml:space="preserve">192</w:t>
            </w:r>
            <w:r/>
          </w:p>
        </w:tc>
      </w:tr>
    </w:tbl>
    <w:p>
      <w:pPr>
        <w:pStyle w:val="1079"/>
        <w:rPr>
          <w:color w:val="auto"/>
          <w:highlight w:val="none"/>
        </w:rPr>
      </w:pPr>
      <w:r>
        <w:rPr>
          <w:color w:val="auto"/>
          <w:highlight w:val="none"/>
        </w:rPr>
      </w:r>
      <w:r/>
    </w:p>
    <w:p>
      <w:pPr>
        <w:ind w:firstLine="480"/>
        <w:keepLines/>
        <w:keepNext/>
        <w:spacing w:before="145" w:after="145"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一年，自</w:t>
      </w:r>
      <w:r>
        <w:rPr>
          <w:rFonts w:hint="eastAsia" w:ascii="宋体" w:hAnsi="宋体" w:cs="宋体"/>
          <w:color w:val="auto"/>
          <w:sz w:val="24"/>
          <w:szCs w:val="24"/>
          <w:highlight w:val="none"/>
        </w:rPr>
        <w:t xml:space="preserve">合同签订之日起（在预算保障的前提下，对于购买内容相对固定、连续性强、经费来源稳定、价格变化幅度小的政府购买服务项目。）供应商经采购方</w:t>
      </w:r>
      <w:r>
        <w:rPr>
          <w:rFonts w:hint="eastAsia" w:ascii="宋体" w:hAnsi="宋体" w:cs="宋体"/>
          <w:color w:val="auto"/>
          <w:sz w:val="24"/>
          <w:szCs w:val="24"/>
          <w:highlight w:val="none"/>
          <w:lang w:val="en-US" w:eastAsia="zh-CN"/>
        </w:rPr>
        <w:t xml:space="preserve">经</w:t>
      </w:r>
      <w:r>
        <w:rPr>
          <w:rFonts w:hint="eastAsia" w:ascii="宋体" w:hAnsi="宋体" w:cs="宋体"/>
          <w:color w:val="auto"/>
          <w:sz w:val="24"/>
          <w:szCs w:val="24"/>
          <w:highlight w:val="none"/>
        </w:rPr>
        <w:t xml:space="preserve">考核结果优级（90分以上），采购方可以续签合同，</w:t>
      </w:r>
      <w:r>
        <w:rPr>
          <w:rFonts w:hint="eastAsia" w:ascii="宋体" w:hAnsi="宋体" w:cs="宋体"/>
          <w:color w:val="auto"/>
          <w:sz w:val="24"/>
          <w:szCs w:val="24"/>
          <w:highlight w:val="none"/>
          <w:lang w:val="en-US" w:eastAsia="zh-CN"/>
        </w:rPr>
        <w:t xml:space="preserve">合同</w:t>
      </w:r>
      <w:r>
        <w:rPr>
          <w:rFonts w:hint="eastAsia" w:ascii="宋体" w:hAnsi="宋体" w:cs="宋体"/>
          <w:color w:val="auto"/>
          <w:sz w:val="24"/>
          <w:szCs w:val="24"/>
          <w:highlight w:val="none"/>
        </w:rPr>
        <w:t xml:space="preserve">一年一签，续签不超过二年。</w:t>
      </w:r>
      <w:r/>
    </w:p>
    <w:p>
      <w:pPr>
        <w:ind w:firstLine="482"/>
        <w:keepLines/>
        <w:keepNext/>
        <w:spacing w:before="145" w:after="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二、申请人的资格要求：</w:t>
      </w:r>
      <w:bookmarkEnd w:id="12"/>
      <w:r/>
      <w:bookmarkEnd w:id="13"/>
      <w:r/>
      <w:bookmarkEnd w:id="14"/>
      <w:r/>
      <w:bookmarkEnd w:id="15"/>
      <w:r/>
      <w:bookmarkEnd w:id="16"/>
      <w:r/>
      <w:r/>
    </w:p>
    <w:p>
      <w:pPr>
        <w:ind w:firstLine="482"/>
        <w:spacing w:line="360" w:lineRule="auto"/>
        <w:rPr>
          <w:rFonts w:hint="eastAsia" w:ascii="宋体" w:hAnsi="宋体" w:cs="宋体"/>
          <w:color w:val="auto"/>
          <w:sz w:val="24"/>
          <w:szCs w:val="24"/>
          <w:highlight w:val="none"/>
        </w:rPr>
      </w:pPr>
      <w:r/>
      <w:bookmarkStart w:id="17" w:name="_Toc35393792"/>
      <w:r/>
      <w:bookmarkStart w:id="18" w:name="_Toc38985265"/>
      <w:r/>
      <w:bookmarkStart w:id="19" w:name="_Toc28359004"/>
      <w:r/>
      <w:bookmarkStart w:id="20" w:name="_Toc28359081"/>
      <w:r/>
      <w:bookmarkStart w:id="21" w:name="_Toc35393623"/>
      <w:r>
        <w:rPr>
          <w:rFonts w:hint="eastAsia" w:ascii="宋体" w:hAnsi="宋体" w:cs="宋体"/>
          <w:b/>
          <w:bCs/>
          <w:color w:val="auto"/>
          <w:sz w:val="24"/>
          <w:szCs w:val="24"/>
          <w:highlight w:val="none"/>
        </w:rPr>
        <w:t xml:space="preserve">（一）通用资格要求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法人或者其他组织的营业执照等证明文件，自然人的身份证明；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提供2024年度由会计师事务所（或者审计机构）出具的财务报告；（总公司的财务报告，成立不满一年不需提供）；</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依法缴纳税收和社会保障资金的相关材料（提供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1.4具备履行合同所必需的设备和专业技术能力的书面声明；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1.5参加政府采购活动前3年内在经营活动中没有重大违法记录的书面声明。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3.落实政府采购政策需满足的资格要求：</w:t>
      </w:r>
      <w:r>
        <w:rPr>
          <w:rFonts w:hint="eastAsia" w:ascii="宋体" w:hAnsi="宋体"/>
          <w:color w:val="auto"/>
          <w:sz w:val="24"/>
          <w:szCs w:val="24"/>
          <w:highlight w:val="none"/>
        </w:rPr>
        <w:t xml:space="preserve">本项目非专门面向中小企业采购，但采用分包方式落实相关扶持政策，投标人须将本项目中40%比例分包至一家或多家中小企业。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本次采购标的对应的中小企业划分标准所属行业为：其他未列明行业</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（2）按照《财政部、司法部关于政府采购支持监狱企业发展有关问题的通知》（财库〔2014〕68号）的规定，落实支持监狱企业发展政策。</w:t>
      </w:r>
      <w:r/>
    </w:p>
    <w:p>
      <w:pPr>
        <w:ind w:firstLine="482"/>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（3）按照《三部门联合发布关于促进残疾人就业政府采购政策的通知》（财库〔2017〕141号）的规定，落实支持残疾人福利性单位发展政策。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w:t>
      </w:r>
      <w:r>
        <w:rPr>
          <w:rFonts w:hint="eastAsia" w:ascii="宋体" w:hAnsi="宋体" w:cs="宋体"/>
          <w:color w:val="auto"/>
          <w:sz w:val="24"/>
          <w:szCs w:val="24"/>
          <w:highlight w:val="none"/>
          <w:u w:val="single"/>
        </w:rPr>
        <w:t xml:space="preserve"> 不接受 </w:t>
      </w:r>
      <w:r>
        <w:rPr>
          <w:rFonts w:hint="eastAsia" w:ascii="宋体" w:hAnsi="宋体" w:cs="宋体"/>
          <w:color w:val="auto"/>
          <w:sz w:val="24"/>
          <w:szCs w:val="24"/>
          <w:highlight w:val="none"/>
        </w:rPr>
        <w:t xml:space="preserve">联合体参与磋商。</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（二）本项目的特定资格要求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1、供应商具有中国银行保险监督管理委员会颁发的《经营保险业务许可证》；</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参加投标的供应商具有有效的营业执照（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3、不接受单位负责人为同一人或者存在控股、管理关系的不同单位参与同一项目投标；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4、法定代表人（单位负责人）为同一个人的两个及两个以上法人，母公司、全资子公司及其控股公司，都不得在同一采购项目相同标段中同时参加投标，一经发现，将视同围标处理；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5、为本项目提供整体设计、规范编制或者项目管理、监理、检测等服务的供应商，不得再参加该采购项目的其他采购活动。</w:t>
      </w:r>
      <w:r/>
    </w:p>
    <w:p>
      <w:pPr>
        <w:ind w:firstLine="482"/>
        <w:keepLines/>
        <w:keepNext/>
        <w:spacing w:before="145" w:after="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三、获取</w:t>
      </w:r>
      <w:bookmarkEnd w:id="17"/>
      <w:r/>
      <w:bookmarkEnd w:id="18"/>
      <w:r/>
      <w:bookmarkEnd w:id="19"/>
      <w:r/>
      <w:bookmarkEnd w:id="20"/>
      <w:r/>
      <w:bookmarkEnd w:id="21"/>
      <w:r>
        <w:rPr>
          <w:rFonts w:hint="eastAsia" w:ascii="宋体" w:hAnsi="宋体" w:cs="宋体"/>
          <w:b/>
          <w:bCs/>
          <w:color w:val="auto"/>
          <w:sz w:val="24"/>
          <w:szCs w:val="24"/>
          <w:highlight w:val="none"/>
        </w:rPr>
        <w:t xml:space="preserve">磋商文件</w:t>
      </w:r>
      <w:r/>
    </w:p>
    <w:p>
      <w:pPr>
        <w:ind w:firstLine="480"/>
        <w:spacing w:line="360" w:lineRule="auto"/>
        <w:rPr>
          <w:rFonts w:hint="eastAsia" w:ascii="宋体" w:hAnsi="宋体" w:cs="宋体"/>
          <w:b/>
          <w:color w:val="auto"/>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1.时间：自磋商文件公告发布之日起5个工作日。</w:t>
      </w:r>
      <w:r/>
    </w:p>
    <w:p>
      <w:pPr>
        <w:ind w:firstLine="48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2.方式：在“江苏政府采购网”自行免费下载磋商文件。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2.1潜在供应商访问电子招标响应交易平台的网络地址和方法：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2.2潜在供应商访问“苏采云”系统的网络地址和方法：“苏采云”系统的网址：http://jszfcg.jsczt.cn/。</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2.3“CA数字证书”的获取：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2.5采购人或采购代理机构将数据电文形式的采购文件加载至“苏采云”系统，供潜在供应商下载或者查阅。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2.6请潜在供应商提前安装相应的控件（详见《（苏采云）供应商操作手册》）并使用谷歌浏览器登录“苏采云”系统参与不见面开评标。</w:t>
      </w:r>
      <w:r/>
    </w:p>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注：如潜在供应商未按上述要求操作，将自行承担所产生的风险。</w:t>
      </w:r>
      <w:r/>
    </w:p>
    <w:p>
      <w:pPr>
        <w:ind w:firstLine="482"/>
        <w:keepLines/>
        <w:keepNext/>
        <w:spacing w:before="145" w:after="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四、提交</w:t>
      </w:r>
      <w:bookmarkEnd w:id="22"/>
      <w:r/>
      <w:bookmarkEnd w:id="23"/>
      <w:r>
        <w:rPr>
          <w:rFonts w:hint="eastAsia" w:ascii="宋体" w:hAnsi="宋体" w:cs="宋体"/>
          <w:b/>
          <w:bCs/>
          <w:color w:val="auto"/>
          <w:sz w:val="24"/>
          <w:szCs w:val="24"/>
          <w:highlight w:val="none"/>
        </w:rPr>
        <w:t xml:space="preserve">响应文件截止时间</w:t>
      </w:r>
      <w:bookmarkEnd w:id="24"/>
      <w:r/>
      <w:bookmarkEnd w:id="25"/>
      <w:r/>
      <w:bookmarkEnd w:id="26"/>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u w:val="single"/>
        </w:rPr>
        <w:t xml:space="preserve">1.202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2</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28</w:t>
      </w:r>
      <w:r>
        <w:rPr>
          <w:rFonts w:hint="eastAsia" w:ascii="宋体" w:hAnsi="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w:t>
      </w:r>
      <w:bookmarkStart w:id="195" w:name="_GoBack"/>
      <w:r/>
      <w:bookmarkEnd w:id="195"/>
      <w:r>
        <w:rPr>
          <w:rFonts w:hint="eastAsia" w:ascii="宋体" w:hAnsi="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w:t>
      </w:r>
      <w:r>
        <w:rPr>
          <w:rFonts w:hint="eastAsia" w:ascii="宋体" w:hAnsi="宋体" w:cs="宋体"/>
          <w:bCs/>
          <w:color w:val="auto"/>
          <w:sz w:val="24"/>
          <w:szCs w:val="24"/>
          <w:highlight w:val="none"/>
          <w:u w:val="single"/>
        </w:rPr>
        <w:t xml:space="preserve">0分</w:t>
      </w:r>
      <w:r>
        <w:rPr>
          <w:rFonts w:hint="eastAsia" w:ascii="宋体" w:hAnsi="宋体" w:cs="宋体"/>
          <w:bCs/>
          <w:color w:val="auto"/>
          <w:sz w:val="24"/>
          <w:szCs w:val="24"/>
          <w:highlight w:val="none"/>
        </w:rPr>
        <w:t xml:space="preserve">（北京时间）。</w:t>
      </w:r>
      <w:r>
        <w:rPr>
          <w:rFonts w:hint="eastAsia" w:ascii="宋体" w:hAnsi="宋体" w:cs="宋体"/>
          <w:color w:val="auto"/>
          <w:sz w:val="24"/>
          <w:szCs w:val="24"/>
          <w:highlight w:val="none"/>
        </w:rPr>
        <w:t xml:space="preserve">逾时，交易系统将拒绝接受上传响应文件电子文档。</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各供应商请关注开标大厅交流区，在开标结束后，请勿离开开标大厅。资格评审、符合性审查结束后，供应商就所有内容进行最后报价，少报无效。最后报价将作为评审价。系统发送最后报价填报通知后，所有的响应供应商须在系统规定时间内填写并提交最后报价，未在规定时间内提交最后报价的，视作无效响应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2.线上开标地点：“苏采云”系统（网址：http://jszfcg.jsczt.cn/）“开标大厅”。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3.响应文件的解密：开标当天各供应商及</w:t>
      </w:r>
      <w:r>
        <w:rPr>
          <w:rFonts w:hint="eastAsia" w:ascii="宋体" w:hAnsi="宋体"/>
          <w:bCs/>
          <w:color w:val="auto"/>
          <w:sz w:val="24"/>
          <w:szCs w:val="24"/>
          <w:highlight w:val="none"/>
        </w:rPr>
        <w:t xml:space="preserve">时登录不见面开标大厅，响应文件递交截止时间后，投标供应商通过开标会议区发出响应文件解密的指令，投标供应商在苏彩云系统按规定时间自行实施远程解密。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2"/>
        <w:keepLines/>
        <w:keepNext/>
        <w:spacing w:before="145" w:after="145" w:line="360" w:lineRule="auto"/>
        <w:rPr>
          <w:rFonts w:hint="eastAsia" w:ascii="宋体" w:hAnsi="宋体" w:cs="宋体"/>
          <w:b/>
          <w:bCs/>
          <w:color w:val="auto"/>
          <w:sz w:val="24"/>
          <w:szCs w:val="24"/>
          <w:highlight w:val="none"/>
        </w:rPr>
        <w:outlineLvl w:val="2"/>
      </w:pPr>
      <w:r/>
      <w:bookmarkStart w:id="27" w:name="_Toc35393794"/>
      <w:r/>
      <w:bookmarkStart w:id="28" w:name="_Toc35393625"/>
      <w:r/>
      <w:bookmarkStart w:id="29" w:name="_Toc28359084"/>
      <w:r/>
      <w:bookmarkStart w:id="30" w:name="_Toc28359007"/>
      <w:r/>
      <w:bookmarkStart w:id="31" w:name="_Toc38985267"/>
      <w:r>
        <w:rPr>
          <w:rFonts w:hint="eastAsia" w:ascii="宋体" w:hAnsi="宋体" w:cs="宋体"/>
          <w:b/>
          <w:bCs/>
          <w:color w:val="auto"/>
          <w:sz w:val="24"/>
          <w:szCs w:val="24"/>
          <w:highlight w:val="none"/>
        </w:rPr>
        <w:t xml:space="preserve">五、公告期限</w:t>
      </w:r>
      <w:bookmarkEnd w:id="27"/>
      <w:r/>
      <w:bookmarkEnd w:id="28"/>
      <w:r/>
      <w:bookmarkEnd w:id="29"/>
      <w:r/>
      <w:bookmarkEnd w:id="30"/>
      <w:r/>
      <w:bookmarkEnd w:id="31"/>
      <w:r/>
      <w:r/>
    </w:p>
    <w:p>
      <w:pPr>
        <w:ind w:firstLine="480"/>
        <w:spacing w:line="360" w:lineRule="auto"/>
        <w:rPr>
          <w:rFonts w:hint="eastAsia" w:ascii="宋体" w:hAnsi="宋体" w:cs="宋体"/>
          <w:color w:val="auto"/>
          <w:sz w:val="24"/>
          <w:szCs w:val="24"/>
          <w:highlight w:val="none"/>
        </w:rPr>
      </w:pPr>
      <w:r/>
      <w:bookmarkStart w:id="32" w:name="_Toc38985268"/>
      <w:r/>
      <w:bookmarkStart w:id="33" w:name="_Toc35393795"/>
      <w:r/>
      <w:bookmarkStart w:id="34" w:name="_Toc35393626"/>
      <w:r>
        <w:rPr>
          <w:rFonts w:hint="eastAsia" w:ascii="宋体" w:hAnsi="宋体" w:cs="宋体"/>
          <w:color w:val="auto"/>
          <w:sz w:val="24"/>
          <w:szCs w:val="24"/>
          <w:highlight w:val="none"/>
        </w:rPr>
        <w:t xml:space="preserve">磋商公告及磋商文件公告期限为自本公告发布之日起5个工作日。</w:t>
      </w:r>
      <w:r/>
    </w:p>
    <w:p>
      <w:pPr>
        <w:ind w:firstLine="482"/>
        <w:keepLines/>
        <w:keepNext/>
        <w:spacing w:before="145" w:after="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六、其他补充事宜</w:t>
      </w:r>
      <w:bookmarkEnd w:id="32"/>
      <w:r/>
      <w:bookmarkEnd w:id="33"/>
      <w:r/>
      <w:bookmarkEnd w:id="34"/>
      <w:r/>
      <w:r/>
    </w:p>
    <w:p>
      <w:pPr>
        <w:ind w:firstLine="480"/>
        <w:spacing w:line="360" w:lineRule="auto"/>
        <w:rPr>
          <w:rFonts w:hint="eastAsia" w:ascii="宋体" w:hAnsi="宋体" w:cs="宋体"/>
          <w:color w:val="auto"/>
          <w:sz w:val="24"/>
          <w:szCs w:val="24"/>
          <w:highlight w:val="none"/>
        </w:rPr>
      </w:pPr>
      <w:r/>
      <w:bookmarkStart w:id="35" w:name="_Toc35393796"/>
      <w:r/>
      <w:bookmarkStart w:id="36" w:name="_Toc35393627"/>
      <w:r/>
      <w:bookmarkStart w:id="37" w:name="_Toc28359008"/>
      <w:r/>
      <w:bookmarkStart w:id="38" w:name="_Toc38985269"/>
      <w:r/>
      <w:bookmarkStart w:id="39" w:name="_Toc28359085"/>
      <w:r>
        <w:rPr>
          <w:rFonts w:hint="eastAsia" w:ascii="宋体" w:hAnsi="宋体" w:cs="宋体"/>
          <w:color w:val="auto"/>
          <w:sz w:val="24"/>
          <w:szCs w:val="24"/>
          <w:highlight w:val="none"/>
        </w:rPr>
        <w:t xml:space="preserve">1.磋商保证金：本项目不收磋商保证金，采购文件中涉及磋商保证金的事项，均按免收磋商保证金执行。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2.项目磋商活动模式：不见面远程磋商模式，供应商在各自地点通过不见面交易系统参加开标会。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5.潜在供应商对竞争性磋商文件的询问、质疑请向采购人提出，由采购人负责答复。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6.磋商响应文件制作份数要求：本项目为远程不见面电子标，成交供应商在公示结束后须提供叁份纸质版响应文件正本至采购人或招标代理处，纸质版响应文件须与电子文件一致，否则不予签订合同。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7.有关本次磋商采购的事项若存在变动或修改，敬请及时关注“江苏政府采购网”发布的更正公告。</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8.本次采购项目磋商结束后需提供最终报价。</w:t>
      </w:r>
      <w:r/>
    </w:p>
    <w:p>
      <w:pPr>
        <w:ind w:firstLine="482"/>
        <w:keepLines/>
        <w:keepNext/>
        <w:spacing w:before="145" w:after="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七、本次磋商联系方式</w:t>
      </w:r>
      <w:bookmarkEnd w:id="35"/>
      <w:r/>
      <w:bookmarkEnd w:id="36"/>
      <w:r/>
      <w:bookmarkEnd w:id="37"/>
      <w:r/>
      <w:bookmarkEnd w:id="38"/>
      <w:r/>
      <w:bookmarkEnd w:id="39"/>
      <w:r/>
      <w:r/>
    </w:p>
    <w:p>
      <w:pPr>
        <w:ind w:right="84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right="84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名称：南通市通州区川姜镇人民政府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址：南通市通州区川姜镇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联系人：韩女士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rFonts w:ascii="宋体" w:hAnsi="宋体" w:cs="宋体"/>
          <w:color w:val="auto"/>
          <w:sz w:val="24"/>
          <w:szCs w:val="24"/>
          <w:highlight w:val="none"/>
        </w:rPr>
        <w:t xml:space="preserve">13376136660  </w:t>
      </w:r>
      <w:r>
        <w:rPr>
          <w:rFonts w:hint="eastAsia" w:ascii="宋体" w:hAnsi="宋体" w:cs="宋体"/>
          <w:color w:val="auto"/>
          <w:sz w:val="24"/>
          <w:szCs w:val="24"/>
          <w:highlight w:val="none"/>
        </w:rPr>
        <w:t xml:space="preserve">    </w:t>
      </w:r>
      <w:r/>
    </w:p>
    <w:p>
      <w:pPr>
        <w:ind w:right="84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称：南通建仁房地产评估工程项目管理有限公司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址：南通市通州区锦绣路118号锦安妮纺织品有限公司办公楼三楼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联系人：陈先生、秦女士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联系方式：15062737585、15996537148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交易系统软件维护人员：</w:t>
      </w:r>
      <w:r>
        <w:rPr>
          <w:rFonts w:ascii="宋体" w:hAnsi="宋体" w:cs="宋体"/>
          <w:color w:val="auto"/>
          <w:sz w:val="24"/>
          <w:szCs w:val="24"/>
          <w:highlight w:val="none"/>
        </w:rPr>
        <w:t xml:space="preserve"> 0519-86722801</w:t>
      </w:r>
      <w:r>
        <w:rPr>
          <w:rFonts w:hint="eastAsia" w:ascii="宋体" w:hAnsi="宋体" w:cs="宋体"/>
          <w:color w:val="auto"/>
          <w:sz w:val="24"/>
          <w:szCs w:val="24"/>
          <w:highlight w:val="none"/>
        </w:rPr>
        <w:t xml:space="preserve"> 0519-86722806</w:t>
      </w:r>
      <w:r/>
    </w:p>
    <w:p>
      <w:pPr>
        <w:ind w:right="84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ind w:right="840"/>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before="260" w:after="260" w:line="416" w:lineRule="auto"/>
        <w:rPr>
          <w:rFonts w:hint="eastAsia" w:ascii="宋体" w:hAnsi="宋体" w:cs="宋体"/>
          <w:color w:val="auto"/>
          <w:sz w:val="32"/>
          <w:szCs w:val="32"/>
          <w:highlight w:val="none"/>
        </w:rPr>
        <w:outlineLvl w:val="1"/>
      </w:pPr>
      <w:r/>
      <w:bookmarkStart w:id="40" w:name="_Toc120614211"/>
      <w:r>
        <w:rPr>
          <w:rFonts w:hint="eastAsia" w:ascii="宋体" w:hAnsi="宋体" w:cs="宋体"/>
          <w:b/>
          <w:bCs/>
          <w:color w:val="auto"/>
          <w:sz w:val="32"/>
          <w:szCs w:val="32"/>
          <w:highlight w:val="none"/>
        </w:rPr>
        <w:br w:type="column"/>
      </w:r>
      <w:r>
        <w:rPr>
          <w:rFonts w:hint="eastAsia" w:ascii="宋体" w:hAnsi="宋体" w:cs="宋体"/>
          <w:b/>
          <w:bCs/>
          <w:color w:val="auto"/>
          <w:sz w:val="32"/>
          <w:szCs w:val="32"/>
          <w:highlight w:val="none"/>
        </w:rPr>
        <w:t xml:space="preserve">第二章  </w:t>
      </w:r>
      <w:bookmarkEnd w:id="1"/>
      <w:r/>
      <w:bookmarkEnd w:id="2"/>
      <w:r/>
      <w:bookmarkEnd w:id="3"/>
      <w:r/>
      <w:bookmarkEnd w:id="4"/>
      <w:r/>
      <w:bookmarkEnd w:id="5"/>
      <w:r/>
      <w:bookmarkEnd w:id="40"/>
      <w:r>
        <w:rPr>
          <w:rFonts w:hint="eastAsia" w:ascii="宋体" w:hAnsi="宋体" w:cs="宋体"/>
          <w:b/>
          <w:bCs/>
          <w:color w:val="auto"/>
          <w:sz w:val="32"/>
          <w:szCs w:val="32"/>
          <w:highlight w:val="none"/>
        </w:rPr>
        <w:t xml:space="preserve">供应商须知</w:t>
      </w:r>
      <w:r/>
    </w:p>
    <w:p>
      <w:pPr>
        <w:ind w:firstLine="482"/>
        <w:keepLines/>
        <w:keepNext/>
        <w:spacing w:before="145" w:after="145" w:line="360" w:lineRule="auto"/>
        <w:rPr>
          <w:rFonts w:hint="eastAsia" w:ascii="宋体" w:hAnsi="宋体" w:cs="宋体"/>
          <w:b/>
          <w:bCs/>
          <w:color w:val="auto"/>
          <w:sz w:val="24"/>
          <w:szCs w:val="24"/>
          <w:highlight w:val="none"/>
        </w:rPr>
        <w:outlineLvl w:val="2"/>
      </w:pPr>
      <w:r/>
      <w:bookmarkStart w:id="41" w:name="_Toc20823275"/>
      <w:r/>
      <w:bookmarkStart w:id="42" w:name="_Toc16938519"/>
      <w:r/>
      <w:bookmarkStart w:id="43" w:name="_Toc120614214"/>
      <w:r/>
      <w:bookmarkStart w:id="44" w:name="_Toc513029203"/>
      <w:r>
        <w:rPr>
          <w:rFonts w:hint="eastAsia" w:ascii="宋体" w:hAnsi="宋体" w:cs="宋体"/>
          <w:b/>
          <w:bCs/>
          <w:color w:val="auto"/>
          <w:sz w:val="24"/>
          <w:szCs w:val="24"/>
          <w:highlight w:val="none"/>
        </w:rPr>
        <w:t xml:space="preserve">一、总则</w:t>
      </w:r>
      <w:bookmarkEnd w:id="41"/>
      <w:r/>
      <w:bookmarkEnd w:id="42"/>
      <w:r/>
      <w:bookmarkEnd w:id="43"/>
      <w:r/>
      <w:bookmarkEnd w:id="44"/>
      <w:r/>
      <w:r/>
    </w:p>
    <w:p>
      <w:pPr>
        <w:ind w:firstLine="480"/>
        <w:keepLines/>
        <w:keepNext/>
        <w:spacing w:line="360" w:lineRule="auto"/>
        <w:rPr>
          <w:rFonts w:hint="eastAsia" w:ascii="宋体" w:hAnsi="宋体" w:cs="宋体"/>
          <w:color w:val="auto"/>
          <w:sz w:val="24"/>
          <w:szCs w:val="24"/>
          <w:highlight w:val="none"/>
        </w:rPr>
        <w:outlineLvl w:val="3"/>
      </w:pPr>
      <w:r/>
      <w:bookmarkStart w:id="45" w:name="_Hlt16619475"/>
      <w:r/>
      <w:bookmarkEnd w:id="45"/>
      <w:r/>
      <w:bookmarkStart w:id="46" w:name="_Toc458694821"/>
      <w:r/>
      <w:bookmarkStart w:id="47" w:name="_Toc16938520"/>
      <w:r/>
      <w:bookmarkStart w:id="48" w:name="_Toc513029204"/>
      <w:r/>
      <w:bookmarkStart w:id="49" w:name="_Toc20823276"/>
      <w:r>
        <w:rPr>
          <w:rFonts w:hint="eastAsia" w:ascii="宋体" w:hAnsi="宋体" w:cs="宋体"/>
          <w:color w:val="auto"/>
          <w:sz w:val="24"/>
          <w:szCs w:val="24"/>
          <w:highlight w:val="none"/>
        </w:rPr>
        <w:t xml:space="preserve">1</w:t>
      </w:r>
      <w:bookmarkEnd w:id="46"/>
      <w:r>
        <w:rPr>
          <w:rFonts w:hint="eastAsia" w:ascii="宋体" w:hAnsi="宋体" w:cs="宋体"/>
          <w:color w:val="auto"/>
          <w:sz w:val="24"/>
          <w:szCs w:val="24"/>
          <w:highlight w:val="none"/>
        </w:rPr>
        <w:t xml:space="preserve">、采购方式</w:t>
      </w:r>
      <w:bookmarkEnd w:id="47"/>
      <w:r/>
      <w:bookmarkEnd w:id="48"/>
      <w:r/>
      <w:bookmarkEnd w:id="49"/>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360" w:lineRule="auto"/>
        <w:rPr>
          <w:rFonts w:hint="eastAsia" w:ascii="宋体" w:hAnsi="宋体" w:cs="宋体"/>
          <w:color w:val="auto"/>
          <w:sz w:val="24"/>
          <w:szCs w:val="24"/>
          <w:highlight w:val="none"/>
        </w:rPr>
        <w:outlineLvl w:val="3"/>
      </w:pPr>
      <w:r/>
      <w:bookmarkStart w:id="50" w:name="_Toc16938521"/>
      <w:r/>
      <w:bookmarkStart w:id="51" w:name="_Toc513029205"/>
      <w:r/>
      <w:bookmarkStart w:id="52" w:name="_Toc20823277"/>
      <w:r>
        <w:rPr>
          <w:rFonts w:hint="eastAsia" w:ascii="宋体" w:hAnsi="宋体" w:cs="宋体"/>
          <w:color w:val="auto"/>
          <w:sz w:val="24"/>
          <w:szCs w:val="24"/>
          <w:highlight w:val="none"/>
        </w:rPr>
        <w:t xml:space="preserve">2、合格的</w:t>
      </w:r>
      <w:bookmarkEnd w:id="50"/>
      <w:r/>
      <w:bookmarkEnd w:id="51"/>
      <w:r/>
      <w:bookmarkEnd w:id="52"/>
      <w:r>
        <w:rPr>
          <w:rFonts w:hint="eastAsia" w:ascii="宋体" w:hAnsi="宋体" w:cs="宋体"/>
          <w:color w:val="auto"/>
          <w:sz w:val="24"/>
          <w:szCs w:val="24"/>
          <w:highlight w:val="none"/>
        </w:rPr>
        <w:t xml:space="preserve">供应商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2.1满足磋商公告中供应商资格要求的规定。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满足本磋商文件实质性要求和条件的规定。</w:t>
      </w:r>
      <w:r/>
    </w:p>
    <w:p>
      <w:pPr>
        <w:ind w:firstLine="480"/>
        <w:keepLines/>
        <w:keepNext/>
        <w:spacing w:line="360" w:lineRule="auto"/>
        <w:rPr>
          <w:rFonts w:hint="eastAsia" w:ascii="宋体" w:hAnsi="宋体" w:cs="宋体"/>
          <w:color w:val="auto"/>
          <w:sz w:val="24"/>
          <w:szCs w:val="24"/>
          <w:highlight w:val="none"/>
        </w:rPr>
        <w:outlineLvl w:val="3"/>
      </w:pPr>
      <w:r/>
      <w:bookmarkStart w:id="53" w:name="_Toc20823278"/>
      <w:r/>
      <w:bookmarkStart w:id="54" w:name="_Toc16938522"/>
      <w:r/>
      <w:bookmarkStart w:id="55" w:name="_Toc513029206"/>
      <w:r>
        <w:rPr>
          <w:rFonts w:hint="eastAsia" w:ascii="宋体" w:hAnsi="宋体" w:cs="宋体"/>
          <w:color w:val="auto"/>
          <w:sz w:val="24"/>
          <w:szCs w:val="24"/>
          <w:highlight w:val="none"/>
        </w:rPr>
        <w:t xml:space="preserve">3、适用法律</w:t>
      </w:r>
      <w:bookmarkEnd w:id="53"/>
      <w:r/>
      <w:bookmarkEnd w:id="54"/>
      <w:r/>
      <w:bookmarkEnd w:id="55"/>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本次磋商及由此产生的合同受中华人民共和国有关的法律法规制约和保护。</w:t>
      </w:r>
      <w:r/>
    </w:p>
    <w:p>
      <w:pPr>
        <w:ind w:firstLine="480"/>
        <w:keepLines/>
        <w:keepNext/>
        <w:spacing w:line="360" w:lineRule="auto"/>
        <w:rPr>
          <w:rFonts w:hint="eastAsia" w:ascii="宋体" w:hAnsi="宋体" w:cs="宋体"/>
          <w:color w:val="auto"/>
          <w:sz w:val="24"/>
          <w:szCs w:val="24"/>
          <w:highlight w:val="none"/>
        </w:rPr>
        <w:outlineLvl w:val="3"/>
      </w:pPr>
      <w:r/>
      <w:bookmarkStart w:id="56" w:name="_Toc513029207"/>
      <w:r/>
      <w:bookmarkStart w:id="57" w:name="_Toc16938523"/>
      <w:r/>
      <w:bookmarkStart w:id="58" w:name="_Toc462564067"/>
      <w:r/>
      <w:bookmarkStart w:id="59" w:name="_Toc20823279"/>
      <w:r>
        <w:rPr>
          <w:rFonts w:hint="eastAsia" w:ascii="宋体" w:hAnsi="宋体" w:cs="宋体"/>
          <w:color w:val="auto"/>
          <w:sz w:val="24"/>
          <w:szCs w:val="24"/>
          <w:highlight w:val="none"/>
        </w:rPr>
        <w:t xml:space="preserve">4、磋商费用</w:t>
      </w:r>
      <w:bookmarkEnd w:id="56"/>
      <w:r/>
      <w:bookmarkEnd w:id="57"/>
      <w:r/>
      <w:bookmarkEnd w:id="58"/>
      <w:r/>
      <w:bookmarkEnd w:id="59"/>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color w:val="auto"/>
          <w:sz w:val="24"/>
          <w:szCs w:val="24"/>
          <w:highlight w:val="none"/>
        </w:rPr>
        <w:t xml:space="preserve">供应商应自行承担所有与参加本次磋商有关的费用，无论磋商过程中的做法和结果如何，代理机构在任何情况下均无义务和责任承担这些费用。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4.2本项目招标代理服务费：人民币</w:t>
      </w:r>
      <w:r>
        <w:rPr>
          <w:rFonts w:hint="eastAsia" w:ascii="宋体" w:hAnsi="宋体" w:cs="宋体"/>
          <w:color w:val="auto"/>
          <w:sz w:val="24"/>
          <w:szCs w:val="24"/>
          <w:highlight w:val="none"/>
          <w:lang w:val="en-US" w:eastAsia="zh-CN"/>
        </w:rPr>
        <w:t xml:space="preserve">120</w:t>
      </w:r>
      <w:r>
        <w:rPr>
          <w:rFonts w:hint="eastAsia" w:ascii="宋体" w:hAnsi="宋体" w:cs="宋体"/>
          <w:color w:val="auto"/>
          <w:sz w:val="24"/>
          <w:szCs w:val="24"/>
          <w:highlight w:val="none"/>
        </w:rPr>
        <w:t xml:space="preserve">00元整，由成交人代为支付代理费用，报价时综合考虑。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4.3.本项目不收取磋商文件费。</w:t>
      </w:r>
      <w:r/>
    </w:p>
    <w:p>
      <w:pPr>
        <w:ind w:firstLine="482"/>
        <w:keepLines/>
        <w:keepNext/>
        <w:spacing w:line="360" w:lineRule="auto"/>
        <w:rPr>
          <w:rFonts w:hint="eastAsia" w:ascii="宋体" w:hAnsi="宋体" w:cs="宋体"/>
          <w:color w:val="auto"/>
          <w:sz w:val="24"/>
          <w:szCs w:val="24"/>
          <w:highlight w:val="none"/>
        </w:rPr>
        <w:outlineLvl w:val="3"/>
      </w:pPr>
      <w:r>
        <w:rPr>
          <w:rFonts w:hint="eastAsia" w:ascii="宋体" w:hAnsi="宋体" w:cs="宋体"/>
          <w:b/>
          <w:bCs/>
          <w:color w:val="auto"/>
          <w:sz w:val="24"/>
          <w:szCs w:val="24"/>
          <w:highlight w:val="none"/>
        </w:rPr>
        <w:t xml:space="preserve">5、</w:t>
      </w:r>
      <w:r>
        <w:rPr>
          <w:rFonts w:hint="eastAsia" w:ascii="宋体" w:hAnsi="宋体" w:cs="宋体"/>
          <w:color w:val="auto"/>
          <w:sz w:val="24"/>
          <w:szCs w:val="24"/>
          <w:highlight w:val="none"/>
        </w:rPr>
        <w:t xml:space="preserve">磋商文件的约束力</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供应商一旦参加本项目采购活动，即被认为接受了本磋商文件的规定和约束。</w:t>
      </w:r>
      <w:r/>
    </w:p>
    <w:p>
      <w:pPr>
        <w:ind w:firstLine="482"/>
        <w:keepLines/>
        <w:keepNext/>
        <w:spacing w:before="145" w:after="145" w:line="360" w:lineRule="auto"/>
        <w:rPr>
          <w:rFonts w:hint="eastAsia" w:ascii="宋体" w:hAnsi="宋体" w:cs="宋体"/>
          <w:b/>
          <w:bCs/>
          <w:color w:val="auto"/>
          <w:sz w:val="24"/>
          <w:szCs w:val="24"/>
          <w:highlight w:val="none"/>
        </w:rPr>
        <w:outlineLvl w:val="2"/>
      </w:pPr>
      <w:r/>
      <w:bookmarkStart w:id="60" w:name="_Toc16938525"/>
      <w:r/>
      <w:bookmarkStart w:id="61" w:name="_Toc120614215"/>
      <w:r/>
      <w:bookmarkStart w:id="62" w:name="_Toc20823281"/>
      <w:r/>
      <w:bookmarkStart w:id="63" w:name="_Toc513029209"/>
      <w:r>
        <w:rPr>
          <w:rFonts w:hint="eastAsia" w:ascii="宋体" w:hAnsi="宋体" w:cs="宋体"/>
          <w:b/>
          <w:bCs/>
          <w:color w:val="auto"/>
          <w:sz w:val="24"/>
          <w:szCs w:val="24"/>
          <w:highlight w:val="none"/>
        </w:rPr>
        <w:t xml:space="preserve">二、</w:t>
      </w:r>
      <w:bookmarkEnd w:id="60"/>
      <w:r/>
      <w:bookmarkEnd w:id="61"/>
      <w:r/>
      <w:bookmarkEnd w:id="62"/>
      <w:r/>
      <w:bookmarkEnd w:id="63"/>
      <w:r>
        <w:rPr>
          <w:rFonts w:hint="eastAsia" w:ascii="宋体" w:hAnsi="宋体" w:cs="宋体"/>
          <w:b/>
          <w:bCs/>
          <w:color w:val="auto"/>
          <w:sz w:val="24"/>
          <w:szCs w:val="24"/>
          <w:highlight w:val="none"/>
        </w:rPr>
        <w:t xml:space="preserve">磋商文件</w:t>
      </w:r>
      <w:r/>
    </w:p>
    <w:p>
      <w:pPr>
        <w:ind w:firstLine="480"/>
        <w:keepLines/>
        <w:keepNext/>
        <w:spacing w:line="360" w:lineRule="auto"/>
        <w:rPr>
          <w:rFonts w:hint="eastAsia" w:ascii="宋体" w:hAnsi="宋体" w:cs="宋体"/>
          <w:color w:val="auto"/>
          <w:sz w:val="24"/>
          <w:szCs w:val="24"/>
          <w:highlight w:val="none"/>
        </w:rPr>
        <w:outlineLvl w:val="3"/>
      </w:pPr>
      <w:r/>
      <w:bookmarkStart w:id="64" w:name="_Toc16938526"/>
      <w:r/>
      <w:bookmarkStart w:id="65" w:name="_Toc513029210"/>
      <w:r/>
      <w:bookmarkStart w:id="66" w:name="_Toc20823282"/>
      <w:r>
        <w:rPr>
          <w:rFonts w:hint="eastAsia" w:ascii="宋体" w:hAnsi="宋体" w:cs="宋体"/>
          <w:color w:val="auto"/>
          <w:sz w:val="24"/>
          <w:szCs w:val="24"/>
          <w:highlight w:val="none"/>
        </w:rPr>
        <w:t xml:space="preserve">6、磋商文件构成</w:t>
      </w:r>
      <w:bookmarkEnd w:id="64"/>
      <w:r/>
      <w:bookmarkEnd w:id="65"/>
      <w:r/>
      <w:bookmarkEnd w:id="66"/>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color w:val="auto"/>
          <w:sz w:val="24"/>
          <w:szCs w:val="24"/>
          <w:highlight w:val="none"/>
        </w:rPr>
        <w:t xml:space="preserve">磋商文件由以下部分组成：</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（1）磋商邀请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（6）响应文件格式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请仔细检查磋商文件是否齐全，如有缺漏请立即与代理机构联系解决。</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360" w:lineRule="auto"/>
        <w:rPr>
          <w:rFonts w:hint="eastAsia" w:ascii="宋体" w:hAnsi="宋体" w:cs="宋体"/>
          <w:color w:val="auto"/>
          <w:sz w:val="24"/>
          <w:szCs w:val="24"/>
          <w:highlight w:val="none"/>
        </w:rPr>
        <w:outlineLvl w:val="3"/>
      </w:pPr>
      <w:r/>
      <w:bookmarkStart w:id="67" w:name="_Toc462564070"/>
      <w:r/>
      <w:bookmarkStart w:id="68" w:name="_Toc16938527"/>
      <w:r/>
      <w:bookmarkStart w:id="69" w:name="_Toc20823283"/>
      <w:r/>
      <w:bookmarkStart w:id="70" w:name="_Toc513029211"/>
      <w:r>
        <w:rPr>
          <w:rFonts w:hint="eastAsia" w:ascii="宋体" w:hAnsi="宋体" w:cs="宋体"/>
          <w:color w:val="auto"/>
          <w:sz w:val="24"/>
          <w:szCs w:val="24"/>
          <w:highlight w:val="none"/>
        </w:rPr>
        <w:t xml:space="preserve">7、磋商文件的澄清</w:t>
      </w:r>
      <w:bookmarkEnd w:id="67"/>
      <w:r/>
      <w:bookmarkEnd w:id="68"/>
      <w:r/>
      <w:bookmarkEnd w:id="69"/>
      <w:r/>
      <w:bookmarkEnd w:id="70"/>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7.1任何要求对磋商文件进行澄清的供应商，应在磋商截止期5日前按磋商公告中的通讯地址，以书面形式通知采购人。</w:t>
      </w:r>
      <w:r/>
    </w:p>
    <w:p>
      <w:pPr>
        <w:ind w:firstLine="480"/>
        <w:keepLines/>
        <w:keepNext/>
        <w:spacing w:line="360" w:lineRule="auto"/>
        <w:rPr>
          <w:rFonts w:hint="eastAsia" w:ascii="宋体" w:hAnsi="宋体" w:cs="宋体"/>
          <w:color w:val="auto"/>
          <w:sz w:val="24"/>
          <w:szCs w:val="24"/>
          <w:highlight w:val="none"/>
        </w:rPr>
        <w:outlineLvl w:val="3"/>
      </w:pPr>
      <w:r/>
      <w:bookmarkStart w:id="71" w:name="_Toc513029212"/>
      <w:r/>
      <w:bookmarkStart w:id="72" w:name="_Toc16938528"/>
      <w:r/>
      <w:bookmarkStart w:id="73" w:name="_Toc462564071"/>
      <w:r/>
      <w:bookmarkStart w:id="74" w:name="_Toc20823284"/>
      <w:r>
        <w:rPr>
          <w:rFonts w:hint="eastAsia" w:ascii="宋体" w:hAnsi="宋体" w:cs="宋体"/>
          <w:color w:val="auto"/>
          <w:sz w:val="24"/>
          <w:szCs w:val="24"/>
          <w:highlight w:val="none"/>
        </w:rPr>
        <w:t xml:space="preserve">8、磋商文件的澄清和修改</w:t>
      </w:r>
      <w:bookmarkEnd w:id="71"/>
      <w:r/>
      <w:bookmarkEnd w:id="72"/>
      <w:r/>
      <w:bookmarkEnd w:id="73"/>
      <w:r/>
      <w:bookmarkEnd w:id="74"/>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8.1</w:t>
      </w:r>
      <w:r>
        <w:rPr>
          <w:rFonts w:hint="eastAsia" w:ascii="宋体" w:hAnsi="宋体" w:cs="宋体"/>
          <w:color w:val="auto"/>
          <w:sz w:val="24"/>
          <w:szCs w:val="24"/>
          <w:highlight w:val="none"/>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8.3代理机构可以视采购项目的具体情况，组织供应商进行现场考察或召开磋商前答疑会，但不单独或分别组织只有一个供应商参加的现场考察和答疑会。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cs="宋体"/>
          <w:b/>
          <w:bCs/>
          <w:color w:val="auto"/>
          <w:sz w:val="24"/>
          <w:szCs w:val="24"/>
          <w:highlight w:val="none"/>
        </w:rPr>
        <w:outlineLvl w:val="2"/>
      </w:pPr>
      <w:r/>
      <w:bookmarkStart w:id="75" w:name="_Toc20823285"/>
      <w:r/>
      <w:bookmarkStart w:id="76" w:name="_Toc120614216"/>
      <w:r/>
      <w:bookmarkStart w:id="77" w:name="_Toc513029213"/>
      <w:r/>
      <w:bookmarkStart w:id="78" w:name="_Toc16938529"/>
      <w:r/>
      <w:bookmarkStart w:id="79" w:name="_Toc462564072"/>
      <w:r>
        <w:rPr>
          <w:rFonts w:hint="eastAsia" w:ascii="宋体" w:hAnsi="宋体" w:cs="宋体"/>
          <w:b/>
          <w:bCs/>
          <w:color w:val="auto"/>
          <w:sz w:val="24"/>
          <w:szCs w:val="24"/>
          <w:highlight w:val="none"/>
        </w:rPr>
        <w:t xml:space="preserve">三、响应文件的编制</w:t>
      </w:r>
      <w:bookmarkEnd w:id="75"/>
      <w:r/>
      <w:bookmarkEnd w:id="76"/>
      <w:r/>
      <w:bookmarkEnd w:id="77"/>
      <w:r/>
      <w:bookmarkEnd w:id="78"/>
      <w:r/>
      <w:bookmarkEnd w:id="79"/>
      <w:r/>
      <w:r/>
    </w:p>
    <w:p>
      <w:pPr>
        <w:ind w:firstLine="480"/>
        <w:keepLines/>
        <w:keepNext/>
        <w:spacing w:line="360" w:lineRule="auto"/>
        <w:rPr>
          <w:rFonts w:hint="eastAsia" w:ascii="宋体" w:hAnsi="宋体" w:cs="宋体"/>
          <w:b/>
          <w:color w:val="auto"/>
          <w:sz w:val="24"/>
          <w:szCs w:val="24"/>
          <w:highlight w:val="none"/>
        </w:rPr>
        <w:outlineLvl w:val="3"/>
      </w:pPr>
      <w:r/>
      <w:bookmarkStart w:id="80" w:name="_Toc16938530"/>
      <w:r/>
      <w:bookmarkStart w:id="81" w:name="_Toc462564073"/>
      <w:r/>
      <w:bookmarkStart w:id="82" w:name="_Toc20823286"/>
      <w:r/>
      <w:bookmarkStart w:id="83" w:name="_Toc513029214"/>
      <w:r>
        <w:rPr>
          <w:rFonts w:hint="eastAsia" w:ascii="宋体" w:hAnsi="宋体" w:cs="宋体"/>
          <w:color w:val="auto"/>
          <w:sz w:val="24"/>
          <w:szCs w:val="24"/>
          <w:highlight w:val="none"/>
        </w:rPr>
        <w:t xml:space="preserve">9、响应文件的语言及度量衡单位</w:t>
      </w:r>
      <w:bookmarkEnd w:id="80"/>
      <w:r/>
      <w:bookmarkEnd w:id="81"/>
      <w:r/>
      <w:bookmarkEnd w:id="82"/>
      <w:r/>
      <w:bookmarkEnd w:id="83"/>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供应商提交的响应文件以及供应商与代理机构就有关磋商的所有来往通知、函件和文件均应使用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除技术性能另有规定外，响应文件所使用的度量衡单位，均须采用国家法定计量单位。</w:t>
      </w:r>
      <w:r/>
    </w:p>
    <w:p>
      <w:pPr>
        <w:ind w:firstLine="480"/>
        <w:keepLines/>
        <w:keepNext/>
        <w:spacing w:line="360" w:lineRule="auto"/>
        <w:rPr>
          <w:rFonts w:hint="eastAsia" w:ascii="宋体" w:hAnsi="宋体" w:cs="宋体"/>
          <w:color w:val="auto"/>
          <w:sz w:val="24"/>
          <w:szCs w:val="24"/>
          <w:highlight w:val="none"/>
        </w:rPr>
        <w:outlineLvl w:val="3"/>
      </w:pPr>
      <w:r/>
      <w:bookmarkStart w:id="84" w:name="_Toc16938531"/>
      <w:r/>
      <w:bookmarkStart w:id="85" w:name="_Toc20823287"/>
      <w:r/>
      <w:bookmarkStart w:id="86" w:name="_Toc462564074"/>
      <w:r/>
      <w:bookmarkStart w:id="87" w:name="_Toc513029215"/>
      <w:r>
        <w:rPr>
          <w:rFonts w:hint="eastAsia" w:ascii="宋体" w:hAnsi="宋体" w:cs="宋体"/>
          <w:color w:val="auto"/>
          <w:sz w:val="24"/>
          <w:szCs w:val="24"/>
          <w:highlight w:val="none"/>
        </w:rPr>
        <w:t xml:space="preserve">10、响应文件构成</w:t>
      </w:r>
      <w:bookmarkEnd w:id="84"/>
      <w:r/>
      <w:bookmarkEnd w:id="85"/>
      <w:r/>
      <w:bookmarkEnd w:id="86"/>
      <w:r/>
      <w:bookmarkEnd w:id="87"/>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10.1供应商编写的响应文件应包括资格证明文件、符合性证明文件、分项报价表、技术要求响应及偏离表、商务要求响应及偏离表、其他证明文件、磋商响应函等部分。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360" w:lineRule="auto"/>
        <w:rPr>
          <w:rFonts w:hint="eastAsia" w:ascii="宋体" w:hAnsi="宋体" w:cs="宋体"/>
          <w:color w:val="auto"/>
          <w:sz w:val="24"/>
          <w:szCs w:val="24"/>
          <w:highlight w:val="none"/>
        </w:rPr>
        <w:outlineLvl w:val="3"/>
      </w:pPr>
      <w:r/>
      <w:bookmarkStart w:id="88" w:name="_Hlt26954838"/>
      <w:r/>
      <w:bookmarkEnd w:id="88"/>
      <w:r/>
      <w:bookmarkStart w:id="89" w:name="_Hlt26670360"/>
      <w:r/>
      <w:bookmarkEnd w:id="89"/>
      <w:r/>
      <w:bookmarkStart w:id="90" w:name="_Hlt26668975"/>
      <w:r/>
      <w:bookmarkEnd w:id="90"/>
      <w:r/>
      <w:bookmarkStart w:id="91" w:name="_Toc49090509"/>
      <w:r/>
      <w:bookmarkStart w:id="92" w:name="_Toc14577357"/>
      <w:r/>
      <w:bookmarkStart w:id="93" w:name="_Toc513029219"/>
      <w:r/>
      <w:bookmarkStart w:id="94" w:name="_Toc14577354"/>
      <w:r/>
      <w:bookmarkStart w:id="95" w:name="_Toc513029216"/>
      <w:r/>
      <w:bookmarkStart w:id="96" w:name="_Toc49090507"/>
      <w:r/>
      <w:bookmarkStart w:id="97" w:name="_Toc49090508"/>
      <w:r/>
      <w:bookmarkStart w:id="98" w:name="_Toc14577355"/>
      <w:r>
        <w:rPr>
          <w:rFonts w:hint="eastAsia" w:ascii="宋体" w:hAnsi="宋体" w:cs="宋体"/>
          <w:color w:val="auto"/>
          <w:sz w:val="24"/>
          <w:szCs w:val="24"/>
          <w:highlight w:val="none"/>
        </w:rPr>
        <w:t xml:space="preserve">11、证明磋商响应标的符合磋商文件规定的文件</w:t>
      </w:r>
      <w:bookmarkEnd w:id="91"/>
      <w:r/>
      <w:bookmarkEnd w:id="92"/>
      <w:r/>
      <w:bookmarkEnd w:id="93"/>
      <w:r/>
      <w:bookmarkEnd w:id="94"/>
      <w:r/>
      <w:bookmarkEnd w:id="95"/>
      <w:r/>
      <w:bookmarkEnd w:id="96"/>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11.1供应商应按照磋商文件要求提交证明文件，证明其及磋商响应标的符合磋商文件规定。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11.2磋商文件对证明文件无明确形式要求的，证明文件可以以文字资料、图纸和数据等形式提交。</w:t>
      </w:r>
      <w:bookmarkEnd w:id="97"/>
      <w:r/>
      <w:bookmarkEnd w:id="98"/>
      <w:r/>
      <w:r/>
    </w:p>
    <w:p>
      <w:pPr>
        <w:ind w:firstLine="480"/>
        <w:keepLines/>
        <w:keepNext/>
        <w:spacing w:line="360"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12、分项报价表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color w:val="auto"/>
          <w:sz w:val="24"/>
          <w:szCs w:val="24"/>
          <w:highlight w:val="none"/>
        </w:rPr>
        <w:t xml:space="preserve">供应商应按照磋商文件规定格式填报分项报价表。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rPr>
          <w:rFonts w:hint="eastAsia" w:ascii="宋体" w:hAnsi="宋体" w:cs="宋体"/>
          <w:bCs/>
          <w:color w:val="auto"/>
          <w:sz w:val="24"/>
          <w:szCs w:val="24"/>
          <w:highlight w:val="none"/>
        </w:rPr>
        <w:t xml:space="preserve">磋商货币。响应文件中的单价和总价无特殊规定的采用人民币报价，以元为单位标注。</w:t>
      </w:r>
      <w:r>
        <w:rPr>
          <w:rFonts w:hint="eastAsia" w:ascii="宋体" w:hAnsi="宋体" w:cs="宋体"/>
          <w:color w:val="auto"/>
          <w:sz w:val="24"/>
          <w:szCs w:val="24"/>
          <w:highlight w:val="none"/>
        </w:rPr>
        <w:t xml:space="preserve">磋商文件中另有规定的按规定执行。</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12.3</w:t>
      </w:r>
      <w:r>
        <w:rPr>
          <w:rFonts w:hint="eastAsia" w:ascii="宋体" w:hAnsi="宋体" w:cs="宋体"/>
          <w:color w:val="auto"/>
          <w:sz w:val="24"/>
          <w:szCs w:val="24"/>
          <w:highlight w:val="none"/>
          <w:lang w:val="zh-CN"/>
        </w:rPr>
        <w:t xml:space="preserve">最后报价应包括完成该服务项目所需的所有费用包括但不限于人工费</w:t>
      </w:r>
      <w:r>
        <w:rPr>
          <w:rFonts w:hint="eastAsia" w:ascii="宋体" w:hAnsi="宋体" w:cs="宋体"/>
          <w:bCs/>
          <w:color w:val="auto"/>
          <w:sz w:val="24"/>
          <w:szCs w:val="24"/>
          <w:highlight w:val="none"/>
          <w:lang w:val="zh-CN"/>
        </w:rPr>
        <w:t xml:space="preserve">、食宿费、差旅费、</w:t>
      </w:r>
      <w:r>
        <w:rPr>
          <w:rFonts w:hint="eastAsia" w:ascii="宋体" w:hAnsi="宋体" w:cs="宋体"/>
          <w:bCs/>
          <w:color w:val="auto"/>
          <w:sz w:val="24"/>
          <w:szCs w:val="24"/>
          <w:highlight w:val="none"/>
        </w:rPr>
        <w:t xml:space="preserve">维保费、</w:t>
      </w:r>
      <w:r>
        <w:rPr>
          <w:rFonts w:hint="eastAsia" w:ascii="宋体" w:hAnsi="宋体" w:cs="宋体"/>
          <w:color w:val="auto"/>
          <w:sz w:val="24"/>
          <w:szCs w:val="24"/>
          <w:highlight w:val="none"/>
          <w:lang w:val="zh-CN"/>
        </w:rPr>
        <w:t xml:space="preserve">管理费、税费、合理利润等及政策性文件规定及合同包含的所有风险、责任等各项应有费用。供应商投标时一次包定,采购方不再支付本次招标价格以外的任何费用(采购方要求变更的除外)。</w:t>
      </w:r>
      <w:r/>
    </w:p>
    <w:p>
      <w:pPr>
        <w:numPr>
          <w:ilvl w:val="0"/>
          <w:numId w:val="5"/>
        </w:numPr>
        <w:ind w:firstLine="480"/>
        <w:spacing w:line="360" w:lineRule="auto"/>
        <w:rPr>
          <w:rFonts w:hint="eastAsia" w:ascii="宋体" w:hAnsi="宋体" w:cs="宋体"/>
          <w:color w:val="auto"/>
          <w:sz w:val="24"/>
          <w:szCs w:val="24"/>
          <w:highlight w:val="none"/>
        </w:rPr>
      </w:pPr>
      <w:r/>
      <w:bookmarkStart w:id="99" w:name="_Hlt26954846"/>
      <w:r/>
      <w:bookmarkEnd w:id="99"/>
      <w:r/>
      <w:bookmarkStart w:id="100" w:name="_Hlt26670482"/>
      <w:r/>
      <w:bookmarkEnd w:id="100"/>
      <w:r/>
      <w:bookmarkStart w:id="101" w:name="_Hlt26670486"/>
      <w:r/>
      <w:bookmarkEnd w:id="101"/>
      <w:r/>
      <w:bookmarkStart w:id="102" w:name="_Hlt26954848"/>
      <w:r/>
      <w:bookmarkEnd w:id="102"/>
      <w:r/>
      <w:bookmarkStart w:id="103" w:name="_Hlt26954731"/>
      <w:r/>
      <w:bookmarkEnd w:id="103"/>
      <w:r>
        <w:rPr>
          <w:rFonts w:hint="eastAsia" w:ascii="宋体" w:hAnsi="宋体" w:cs="宋体"/>
          <w:color w:val="auto"/>
          <w:sz w:val="24"/>
          <w:szCs w:val="24"/>
          <w:highlight w:val="none"/>
        </w:rPr>
        <w:t xml:space="preserve">技术要求响应及偏离表、商务要求响应及偏离表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13.1供应商需对磋商文件中的技术要求与商务要求逐项作出响应或偏离，并说明原因。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13.2供应商可在响应文件中提供认为需要的其他技术文件或说明。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14、服务方案及其他</w:t>
      </w:r>
      <w:r/>
    </w:p>
    <w:p>
      <w:pPr>
        <w:ind w:firstLine="480"/>
        <w:spacing w:line="360" w:lineRule="auto"/>
        <w:rPr>
          <w:rFonts w:hint="eastAsia" w:ascii="宋体" w:hAnsi="宋体" w:cs="宋体"/>
          <w:color w:val="auto"/>
          <w:sz w:val="24"/>
          <w:szCs w:val="24"/>
          <w:highlight w:val="none"/>
          <w:lang w:val="zh-CN"/>
        </w:rPr>
      </w:pPr>
      <w:r/>
      <w:bookmarkStart w:id="104" w:name="_Toc14577359"/>
      <w:r/>
      <w:bookmarkStart w:id="105" w:name="_Toc49090510"/>
      <w:r>
        <w:rPr>
          <w:rFonts w:hint="eastAsia" w:ascii="宋体" w:hAnsi="宋体" w:cs="宋体"/>
          <w:color w:val="auto"/>
          <w:sz w:val="24"/>
          <w:szCs w:val="24"/>
          <w:highlight w:val="none"/>
          <w:lang w:val="zh-CN"/>
        </w:rPr>
        <w:t xml:space="preserve">14.1供应商需根据磋商文件要求编制服务方案等。</w:t>
      </w:r>
      <w:r/>
    </w:p>
    <w:p>
      <w:pPr>
        <w:ind w:firstLine="480"/>
        <w:keepLines/>
        <w:keepNext/>
        <w:spacing w:line="360"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15、磋商响应函</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15.1</w:t>
      </w:r>
      <w:r>
        <w:rPr>
          <w:rFonts w:hint="eastAsia" w:ascii="宋体" w:hAnsi="宋体" w:cs="宋体"/>
          <w:color w:val="auto"/>
          <w:sz w:val="24"/>
          <w:szCs w:val="24"/>
          <w:highlight w:val="none"/>
        </w:rPr>
        <w:t xml:space="preserve">供应商应按照磋商文件中提供的格式完整、正确填写磋商响应函。</w:t>
      </w:r>
      <w:bookmarkEnd w:id="104"/>
      <w:r/>
      <w:bookmarkEnd w:id="105"/>
      <w:r/>
      <w:r/>
    </w:p>
    <w:p>
      <w:pPr>
        <w:ind w:firstLine="480"/>
        <w:keepLines/>
        <w:keepNext/>
        <w:spacing w:line="360" w:lineRule="auto"/>
        <w:rPr>
          <w:rFonts w:hint="eastAsia" w:ascii="宋体" w:hAnsi="宋体" w:cs="宋体"/>
          <w:color w:val="auto"/>
          <w:sz w:val="24"/>
          <w:szCs w:val="24"/>
          <w:highlight w:val="none"/>
        </w:rPr>
        <w:outlineLvl w:val="3"/>
      </w:pPr>
      <w:r/>
      <w:bookmarkStart w:id="106" w:name="_Toc14577360"/>
      <w:r/>
      <w:bookmarkStart w:id="107" w:name="_Toc49090511"/>
      <w:r>
        <w:rPr>
          <w:rFonts w:hint="eastAsia" w:ascii="宋体" w:hAnsi="宋体" w:cs="宋体"/>
          <w:color w:val="auto"/>
          <w:sz w:val="24"/>
          <w:szCs w:val="24"/>
          <w:highlight w:val="none"/>
        </w:rPr>
        <w:t xml:space="preserve">16、磋商有效期</w:t>
      </w:r>
      <w:bookmarkEnd w:id="106"/>
      <w:r/>
      <w:bookmarkEnd w:id="107"/>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16.1磋商有效期为代理机构规定的提交响应文件截止之日后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。磋商有效期比规定短的将被视为非实质性响应磋商文件而予以拒绝。</w:t>
      </w:r>
      <w:r/>
    </w:p>
    <w:p>
      <w:pPr>
        <w:ind w:firstLine="480"/>
        <w:keepLines/>
        <w:keepNext/>
        <w:spacing w:line="360"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17、磋商有效期的延长</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Pr>
          <w:rFonts w:hint="eastAsia" w:ascii="宋体" w:hAnsi="宋体" w:cs="宋体"/>
          <w:color w:val="auto"/>
          <w:sz w:val="24"/>
          <w:szCs w:val="24"/>
          <w:highlight w:val="none"/>
        </w:rPr>
        <w:t xml:space="preserve">受磋商有效期约束的所有权利与义务均延长至新的有效期</w:t>
      </w:r>
      <w:r>
        <w:rPr>
          <w:rFonts w:hint="eastAsia" w:ascii="宋体" w:hAnsi="宋体" w:cs="宋体"/>
          <w:bCs/>
          <w:color w:val="auto"/>
          <w:sz w:val="24"/>
          <w:szCs w:val="24"/>
          <w:highlight w:val="none"/>
        </w:rPr>
        <w:t xml:space="preserve">。</w:t>
      </w:r>
      <w:r/>
    </w:p>
    <w:p>
      <w:pPr>
        <w:ind w:firstLine="482"/>
        <w:keepLines/>
        <w:keepNext/>
        <w:spacing w:before="145" w:after="145" w:line="360" w:lineRule="auto"/>
        <w:rPr>
          <w:rFonts w:hint="eastAsia" w:ascii="宋体" w:hAnsi="宋体" w:cs="宋体"/>
          <w:b/>
          <w:bCs/>
          <w:color w:val="auto"/>
          <w:sz w:val="24"/>
          <w:szCs w:val="24"/>
          <w:highlight w:val="none"/>
        </w:rPr>
        <w:outlineLvl w:val="2"/>
      </w:pPr>
      <w:r/>
      <w:bookmarkStart w:id="108" w:name="_Hlt26954739"/>
      <w:r/>
      <w:bookmarkEnd w:id="108"/>
      <w:r/>
      <w:bookmarkStart w:id="109" w:name="_Hlt26954852"/>
      <w:r/>
      <w:bookmarkEnd w:id="109"/>
      <w:r/>
      <w:bookmarkStart w:id="110" w:name="_Toc120614217"/>
      <w:r/>
      <w:bookmarkStart w:id="111" w:name="_Toc513029224"/>
      <w:r/>
      <w:bookmarkStart w:id="112" w:name="_Toc16938540"/>
      <w:r/>
      <w:bookmarkStart w:id="113" w:name="_Toc20823296"/>
      <w:r>
        <w:rPr>
          <w:rFonts w:hint="eastAsia" w:ascii="宋体" w:hAnsi="宋体" w:cs="宋体"/>
          <w:b/>
          <w:bCs/>
          <w:color w:val="auto"/>
          <w:sz w:val="24"/>
          <w:szCs w:val="24"/>
          <w:highlight w:val="none"/>
        </w:rPr>
        <w:t xml:space="preserve">四、响应文件的递交</w:t>
      </w:r>
      <w:bookmarkEnd w:id="110"/>
      <w:r/>
      <w:bookmarkEnd w:id="111"/>
      <w:r/>
      <w:bookmarkEnd w:id="112"/>
      <w:r/>
      <w:bookmarkEnd w:id="113"/>
      <w:r/>
      <w:r/>
    </w:p>
    <w:p>
      <w:pPr>
        <w:ind w:firstLine="480"/>
        <w:keepLines/>
        <w:keepNext/>
        <w:spacing w:line="360" w:lineRule="auto"/>
        <w:rPr>
          <w:rFonts w:hint="eastAsia" w:ascii="宋体" w:hAnsi="宋体" w:cs="宋体"/>
          <w:color w:val="auto"/>
          <w:sz w:val="24"/>
          <w:szCs w:val="24"/>
          <w:highlight w:val="none"/>
        </w:rPr>
        <w:outlineLvl w:val="3"/>
      </w:pPr>
      <w:r/>
      <w:bookmarkStart w:id="114" w:name="_Toc462564084"/>
      <w:r/>
      <w:bookmarkStart w:id="115" w:name="_Toc16938541"/>
      <w:r/>
      <w:bookmarkStart w:id="116" w:name="_Toc20823297"/>
      <w:r/>
      <w:bookmarkStart w:id="117" w:name="_Toc513029225"/>
      <w:r>
        <w:rPr>
          <w:rFonts w:hint="eastAsia" w:ascii="宋体" w:hAnsi="宋体" w:cs="宋体"/>
          <w:color w:val="auto"/>
          <w:sz w:val="24"/>
          <w:szCs w:val="24"/>
          <w:highlight w:val="none"/>
        </w:rPr>
        <w:t xml:space="preserve">18、电子磋商</w:t>
      </w:r>
      <w:bookmarkEnd w:id="114"/>
      <w:r/>
      <w:bookmarkEnd w:id="115"/>
      <w:r/>
      <w:bookmarkEnd w:id="116"/>
      <w:r/>
      <w:bookmarkEnd w:id="117"/>
      <w:r>
        <w:rPr>
          <w:rFonts w:hint="eastAsia" w:ascii="宋体" w:hAnsi="宋体" w:cs="宋体"/>
          <w:color w:val="auto"/>
          <w:sz w:val="24"/>
          <w:szCs w:val="24"/>
          <w:highlight w:val="none"/>
        </w:rPr>
        <w:t xml:space="preserve">响应文件的递交</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18.1供应商应当按照《操作手册》规定，在提交响应文件截止时间前制作并上传电子响应文件。</w:t>
      </w:r>
      <w:bookmarkStart w:id="118" w:name="_Toc20823298"/>
      <w:r/>
      <w:bookmarkStart w:id="119" w:name="_Toc16938542"/>
      <w:r/>
      <w:bookmarkStart w:id="120" w:name="_Toc513029226"/>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19、提交响应文件截止时间</w:t>
      </w:r>
      <w:bookmarkEnd w:id="118"/>
      <w:r/>
      <w:bookmarkEnd w:id="119"/>
      <w:r/>
      <w:bookmarkEnd w:id="120"/>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19.1供应商上传电子响应文件的时间不得迟于磋商公告中规定的提交响应文件截止时间。</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Cs/>
          <w:color w:val="auto"/>
          <w:sz w:val="24"/>
          <w:szCs w:val="24"/>
          <w:highlight w:val="none"/>
        </w:rPr>
        <w:t xml:space="preserve"> 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360" w:lineRule="auto"/>
        <w:rPr>
          <w:rFonts w:hint="eastAsia" w:ascii="宋体" w:hAnsi="宋体" w:cs="宋体"/>
          <w:color w:val="auto"/>
          <w:sz w:val="24"/>
          <w:szCs w:val="24"/>
          <w:highlight w:val="none"/>
        </w:rPr>
        <w:outlineLvl w:val="3"/>
      </w:pPr>
      <w:r/>
      <w:bookmarkStart w:id="121" w:name="_Toc20823299"/>
      <w:r/>
      <w:bookmarkStart w:id="122" w:name="_Toc16938543"/>
      <w:r/>
      <w:bookmarkStart w:id="123" w:name="_Toc513029227"/>
      <w:r>
        <w:rPr>
          <w:rFonts w:hint="eastAsia" w:ascii="宋体" w:hAnsi="宋体" w:cs="宋体"/>
          <w:color w:val="auto"/>
          <w:sz w:val="24"/>
          <w:szCs w:val="24"/>
          <w:highlight w:val="none"/>
        </w:rPr>
        <w:t xml:space="preserve">20、响应文件</w:t>
      </w:r>
      <w:bookmarkEnd w:id="121"/>
      <w:r/>
      <w:bookmarkEnd w:id="122"/>
      <w:r/>
      <w:bookmarkEnd w:id="123"/>
      <w:r>
        <w:rPr>
          <w:rFonts w:hint="eastAsia" w:ascii="宋体" w:hAnsi="宋体" w:cs="宋体"/>
          <w:color w:val="auto"/>
          <w:sz w:val="24"/>
          <w:szCs w:val="24"/>
          <w:highlight w:val="none"/>
        </w:rPr>
        <w:t xml:space="preserve">的拒收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20.1 代理机构拒绝接收在其规定的提交响应文件截止时间后上传的任何电子响应文件。</w:t>
      </w:r>
      <w:r/>
    </w:p>
    <w:p>
      <w:pPr>
        <w:ind w:firstLine="480"/>
        <w:keepLines/>
        <w:keepNext/>
        <w:spacing w:line="360" w:lineRule="auto"/>
        <w:rPr>
          <w:rFonts w:hint="eastAsia" w:ascii="宋体" w:hAnsi="宋体" w:cs="宋体"/>
          <w:color w:val="auto"/>
          <w:sz w:val="24"/>
          <w:szCs w:val="24"/>
          <w:highlight w:val="none"/>
        </w:rPr>
        <w:outlineLvl w:val="3"/>
      </w:pPr>
      <w:r/>
      <w:bookmarkStart w:id="124" w:name="_Toc513029228"/>
      <w:r/>
      <w:bookmarkStart w:id="125" w:name="_Toc20823300"/>
      <w:r/>
      <w:bookmarkStart w:id="126" w:name="_Toc16938544"/>
      <w:r>
        <w:rPr>
          <w:rFonts w:hint="eastAsia" w:ascii="宋体" w:hAnsi="宋体" w:cs="宋体"/>
          <w:color w:val="auto"/>
          <w:sz w:val="24"/>
          <w:szCs w:val="24"/>
          <w:highlight w:val="none"/>
        </w:rPr>
        <w:t xml:space="preserve">21、响应文件的撤回和修改</w:t>
      </w:r>
      <w:bookmarkEnd w:id="124"/>
      <w:r/>
      <w:bookmarkEnd w:id="125"/>
      <w:r/>
      <w:bookmarkEnd w:id="126"/>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21.1响应文件的撤回</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电子响应文件的撤回</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w:t>
      </w:r>
      <w:r>
        <w:rPr>
          <w:rFonts w:hint="eastAsia" w:ascii="宋体" w:hAnsi="宋体" w:cs="宋体"/>
          <w:bCs/>
          <w:color w:val="auto"/>
          <w:sz w:val="24"/>
          <w:szCs w:val="24"/>
          <w:highlight w:val="none"/>
        </w:rPr>
        <w:t xml:space="preserve">提交响应文件</w:t>
      </w:r>
      <w:r>
        <w:rPr>
          <w:rFonts w:hint="eastAsia" w:ascii="宋体" w:hAnsi="宋体" w:cs="宋体"/>
          <w:color w:val="auto"/>
          <w:sz w:val="24"/>
          <w:szCs w:val="24"/>
          <w:highlight w:val="none"/>
        </w:rPr>
        <w:t xml:space="preserve">截止时间前，撤回其电子响应文件，具体操作方法见《操作手册》。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21.1.2供应商撤回电子响应文件，则认为其不再参与本项目磋商活动。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21.2响应文件的修改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w:t>
      </w:r>
      <w:r>
        <w:rPr>
          <w:rFonts w:hint="eastAsia" w:ascii="宋体" w:hAnsi="宋体" w:cs="宋体"/>
          <w:bCs/>
          <w:color w:val="auto"/>
          <w:sz w:val="24"/>
          <w:szCs w:val="24"/>
          <w:highlight w:val="none"/>
        </w:rPr>
        <w:t xml:space="preserve">提交响应文件</w:t>
      </w:r>
      <w:r>
        <w:rPr>
          <w:rFonts w:hint="eastAsia" w:ascii="宋体" w:hAnsi="宋体" w:cs="宋体"/>
          <w:color w:val="auto"/>
          <w:sz w:val="24"/>
          <w:szCs w:val="24"/>
          <w:highlight w:val="none"/>
        </w:rPr>
        <w:t xml:space="preserve">截止时间前，对其电子响应文件进行修改，具体操作方法见《操作手册》。</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21.3</w:t>
      </w:r>
      <w:r>
        <w:rPr>
          <w:rFonts w:hint="eastAsia" w:ascii="宋体" w:hAnsi="宋体" w:cs="宋体"/>
          <w:bCs/>
          <w:color w:val="auto"/>
          <w:sz w:val="24"/>
          <w:szCs w:val="24"/>
          <w:highlight w:val="none"/>
        </w:rPr>
        <w:t xml:space="preserve"> 在提交响应文件截止时间之后，供应商不得对其电子响应文件作任何修改。</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21.4</w:t>
      </w:r>
      <w:r>
        <w:rPr>
          <w:rFonts w:hint="eastAsia" w:ascii="宋体" w:hAnsi="宋体" w:cs="宋体"/>
          <w:bCs/>
          <w:color w:val="auto"/>
          <w:sz w:val="24"/>
          <w:szCs w:val="24"/>
          <w:highlight w:val="none"/>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cs="宋体"/>
          <w:b/>
          <w:bCs/>
          <w:color w:val="auto"/>
          <w:sz w:val="24"/>
          <w:szCs w:val="24"/>
          <w:highlight w:val="none"/>
        </w:rPr>
        <w:outlineLvl w:val="2"/>
      </w:pPr>
      <w:r/>
      <w:bookmarkStart w:id="127" w:name="_Toc20823301"/>
      <w:r/>
      <w:bookmarkStart w:id="128" w:name="_Toc120614218"/>
      <w:r/>
      <w:bookmarkStart w:id="129" w:name="_Toc513029229"/>
      <w:r/>
      <w:bookmarkStart w:id="130" w:name="_Toc16938545"/>
      <w:r>
        <w:rPr>
          <w:rFonts w:hint="eastAsia" w:ascii="宋体" w:hAnsi="宋体" w:cs="宋体"/>
          <w:b/>
          <w:bCs/>
          <w:color w:val="auto"/>
          <w:sz w:val="24"/>
          <w:szCs w:val="24"/>
          <w:highlight w:val="none"/>
        </w:rPr>
        <w:t xml:space="preserve">五、响应文件的解密与评审</w:t>
      </w:r>
      <w:bookmarkEnd w:id="127"/>
      <w:r/>
      <w:bookmarkEnd w:id="128"/>
      <w:r/>
      <w:bookmarkEnd w:id="129"/>
      <w:r/>
      <w:bookmarkEnd w:id="130"/>
      <w:r/>
      <w:r/>
    </w:p>
    <w:p>
      <w:pPr>
        <w:ind w:firstLine="480"/>
        <w:keepLines/>
        <w:keepNext/>
        <w:spacing w:line="360" w:lineRule="auto"/>
        <w:rPr>
          <w:rFonts w:hint="eastAsia" w:ascii="宋体" w:hAnsi="宋体" w:cs="宋体"/>
          <w:color w:val="auto"/>
          <w:sz w:val="24"/>
          <w:szCs w:val="24"/>
          <w:highlight w:val="none"/>
        </w:rPr>
        <w:outlineLvl w:val="3"/>
      </w:pPr>
      <w:r/>
      <w:bookmarkStart w:id="131" w:name="_Toc513029230"/>
      <w:r/>
      <w:bookmarkStart w:id="132" w:name="_Toc20823302"/>
      <w:r/>
      <w:bookmarkStart w:id="133" w:name="_Toc16938546"/>
      <w:r>
        <w:rPr>
          <w:rFonts w:hint="eastAsia" w:ascii="宋体" w:hAnsi="宋体" w:cs="宋体"/>
          <w:color w:val="auto"/>
          <w:sz w:val="24"/>
          <w:szCs w:val="24"/>
          <w:highlight w:val="none"/>
        </w:rPr>
        <w:t xml:space="preserve">22、</w:t>
      </w:r>
      <w:bookmarkEnd w:id="131"/>
      <w:r/>
      <w:bookmarkEnd w:id="132"/>
      <w:r/>
      <w:bookmarkEnd w:id="133"/>
      <w:r>
        <w:rPr>
          <w:rFonts w:hint="eastAsia" w:ascii="宋体" w:hAnsi="宋体" w:cs="宋体"/>
          <w:color w:val="auto"/>
          <w:sz w:val="24"/>
          <w:szCs w:val="24"/>
          <w:highlight w:val="none"/>
        </w:rPr>
        <w:t xml:space="preserve">响应文件解密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360" w:lineRule="auto"/>
        <w:rPr>
          <w:rFonts w:hint="eastAsia" w:ascii="宋体" w:hAnsi="宋体" w:cs="宋体"/>
          <w:color w:val="auto"/>
          <w:sz w:val="24"/>
          <w:szCs w:val="24"/>
          <w:highlight w:val="none"/>
        </w:rPr>
        <w:outlineLvl w:val="3"/>
      </w:pPr>
      <w:r/>
      <w:bookmarkStart w:id="134" w:name="_Toc20823303"/>
      <w:r/>
      <w:bookmarkStart w:id="135" w:name="_Toc16938547"/>
      <w:r/>
      <w:bookmarkStart w:id="136" w:name="_Toc513029231"/>
      <w:r>
        <w:rPr>
          <w:rFonts w:hint="eastAsia" w:ascii="宋体" w:hAnsi="宋体" w:cs="宋体"/>
          <w:color w:val="auto"/>
          <w:sz w:val="24"/>
          <w:szCs w:val="24"/>
          <w:highlight w:val="none"/>
        </w:rPr>
        <w:t xml:space="preserve">23、磋商小组</w:t>
      </w:r>
      <w:r/>
    </w:p>
    <w:p>
      <w:pPr>
        <w:ind w:firstLine="48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23.1代理机构将组织磋商小组对响应文件进行评审。磋商小组由采购人代表和有关技术、经济等方面的专家组成，且人员构成符合政府采购有关规定。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23.2磋商小组独立工作，负责评审所有响应文件并确定成交候选人。</w:t>
      </w:r>
      <w:r/>
    </w:p>
    <w:p>
      <w:pPr>
        <w:ind w:firstLine="480"/>
        <w:keepLines/>
        <w:keepNext/>
        <w:spacing w:line="360" w:lineRule="auto"/>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24、评审过程的保密与公正</w:t>
      </w:r>
      <w:bookmarkEnd w:id="134"/>
      <w:r/>
      <w:bookmarkEnd w:id="135"/>
      <w:r/>
      <w:bookmarkEnd w:id="136"/>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24.1</w:t>
      </w:r>
      <w:r>
        <w:rPr>
          <w:rFonts w:hint="eastAsia" w:ascii="宋体" w:hAnsi="宋体" w:cs="宋体"/>
          <w:bCs/>
          <w:color w:val="auto"/>
          <w:sz w:val="24"/>
          <w:szCs w:val="24"/>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24.3在项目评审期间，代理机构将设专门人员与供应商联系。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 代理机构和磋商小组不向未成交的供应商解释未成交原因，也不公布评审过程中的相关细节。</w:t>
      </w:r>
      <w:r/>
    </w:p>
    <w:p>
      <w:pPr>
        <w:ind w:firstLine="480"/>
        <w:keepLines/>
        <w:keepNext/>
        <w:spacing w:line="360" w:lineRule="auto"/>
        <w:rPr>
          <w:rFonts w:hint="eastAsia" w:ascii="宋体" w:hAnsi="宋体" w:cs="宋体"/>
          <w:color w:val="auto"/>
          <w:sz w:val="24"/>
          <w:szCs w:val="24"/>
          <w:highlight w:val="none"/>
        </w:rPr>
        <w:outlineLvl w:val="3"/>
      </w:pPr>
      <w:r/>
      <w:bookmarkStart w:id="137" w:name="_Toc20823304"/>
      <w:r/>
      <w:bookmarkStart w:id="138" w:name="_Toc513029232"/>
      <w:r/>
      <w:bookmarkStart w:id="139" w:name="_Toc16938548"/>
      <w:r>
        <w:rPr>
          <w:rFonts w:hint="eastAsia" w:ascii="宋体" w:hAnsi="宋体" w:cs="宋体"/>
          <w:color w:val="auto"/>
          <w:sz w:val="24"/>
          <w:szCs w:val="24"/>
          <w:highlight w:val="none"/>
        </w:rPr>
        <w:t xml:space="preserve">25、评审过程中的澄清</w:t>
      </w:r>
      <w:bookmarkEnd w:id="137"/>
      <w:r/>
      <w:bookmarkEnd w:id="138"/>
      <w:r/>
      <w:bookmarkEnd w:id="139"/>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公章。澄清、说明和更正的内容作为响应文件的补充部分，具体操作方式见《操作手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接到磋商小组澄清、说明和更正要求的供应商如未按规定做出澄清、说明和更正，其风险由供应商自行承担。</w:t>
      </w:r>
      <w:r/>
    </w:p>
    <w:p>
      <w:pPr>
        <w:ind w:firstLine="480"/>
        <w:keepLines/>
        <w:keepNext/>
        <w:spacing w:line="360" w:lineRule="auto"/>
        <w:rPr>
          <w:rFonts w:hint="eastAsia" w:ascii="宋体" w:hAnsi="宋体" w:cs="宋体"/>
          <w:color w:val="auto"/>
          <w:sz w:val="24"/>
          <w:szCs w:val="24"/>
          <w:highlight w:val="none"/>
        </w:rPr>
        <w:outlineLvl w:val="3"/>
      </w:pPr>
      <w:r/>
      <w:bookmarkStart w:id="140" w:name="_Toc513029233"/>
      <w:r/>
      <w:bookmarkStart w:id="141" w:name="_Toc20823305"/>
      <w:r/>
      <w:bookmarkStart w:id="142" w:name="_Toc16938549"/>
      <w:r>
        <w:rPr>
          <w:rFonts w:hint="eastAsia" w:ascii="宋体" w:hAnsi="宋体" w:cs="宋体"/>
          <w:color w:val="auto"/>
          <w:sz w:val="24"/>
          <w:szCs w:val="24"/>
          <w:highlight w:val="none"/>
        </w:rPr>
        <w:t xml:space="preserve">26、对响应文件的审</w:t>
      </w:r>
      <w:bookmarkEnd w:id="140"/>
      <w:r/>
      <w:bookmarkEnd w:id="141"/>
      <w:r/>
      <w:bookmarkEnd w:id="142"/>
      <w:r>
        <w:rPr>
          <w:rFonts w:hint="eastAsia" w:ascii="宋体" w:hAnsi="宋体" w:cs="宋体"/>
          <w:color w:val="auto"/>
          <w:sz w:val="24"/>
          <w:szCs w:val="24"/>
          <w:highlight w:val="none"/>
        </w:rPr>
        <w:t xml:space="preserve">查</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26.1</w:t>
      </w:r>
      <w:r>
        <w:rPr>
          <w:rFonts w:hint="eastAsia" w:ascii="宋体" w:hAnsi="宋体" w:cs="宋体"/>
          <w:bCs/>
          <w:color w:val="auto"/>
          <w:sz w:val="24"/>
          <w:szCs w:val="24"/>
          <w:highlight w:val="none"/>
        </w:rPr>
        <w:t xml:space="preserve">响应文件审查分为资格审查和符合性审查。</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26.1.3 未通过资格审查或符合性审查的供应商，磋商小组将在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26.3未实质性响应磋商文件的情形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26.3.1供应商在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规定的时间内未成功解密电子响应文件的。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26.3.2供应商未按照磋商文件要求上传电子响应文件的。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26.3.3同一供应商提交两个（含两个）以上不同的响应文件或者最后报价的。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26.3.4供应商不具备磋商文件中规定资格要求的。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26.3.5供应商的最后报价超过了采购预算。</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26.3.6不符合磋商文件中规定的实质性要求和条件的。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26.3.8响应文件含有采购人不能接受的附加条件的。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26.3.10响应文件未按照磋商文件要求加盖公章的。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26.4未实质性响应磋商文件的响应文件按无效响应处理。</w:t>
      </w:r>
      <w:r/>
    </w:p>
    <w:p>
      <w:pPr>
        <w:ind w:firstLine="480"/>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26.5</w:t>
      </w:r>
      <w:r>
        <w:rPr>
          <w:rFonts w:hint="eastAsia" w:ascii="宋体" w:hAnsi="宋体" w:cs="宋体"/>
          <w:bCs/>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cs="宋体"/>
          <w:bCs/>
          <w:color w:val="auto"/>
          <w:sz w:val="24"/>
          <w:szCs w:val="24"/>
          <w:highlight w:val="none"/>
        </w:rPr>
      </w:pPr>
      <w:r/>
      <w:bookmarkStart w:id="143" w:name="_Toc20823306"/>
      <w:r/>
      <w:bookmarkStart w:id="144" w:name="_Toc513029234"/>
      <w:r/>
      <w:bookmarkStart w:id="145" w:name="_Toc16938550"/>
      <w:r>
        <w:rPr>
          <w:rFonts w:hint="eastAsia" w:ascii="宋体" w:hAnsi="宋体" w:cs="宋体"/>
          <w:color w:val="auto"/>
          <w:sz w:val="24"/>
          <w:szCs w:val="24"/>
          <w:highlight w:val="none"/>
        </w:rPr>
        <w:t xml:space="preserve">26.6供应商在项目评审全过程中应保持通讯畅通，并安排专人与代理机构及磋</w:t>
      </w:r>
      <w:r>
        <w:rPr>
          <w:rFonts w:hint="eastAsia" w:ascii="宋体" w:hAnsi="宋体" w:cs="宋体"/>
          <w:bCs/>
          <w:color w:val="auto"/>
          <w:sz w:val="24"/>
          <w:szCs w:val="24"/>
          <w:highlight w:val="none"/>
        </w:rPr>
        <w:t xml:space="preserve">商小组联系。</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w:t>
      </w:r>
      <w:bookmarkEnd w:id="143"/>
      <w:r/>
      <w:bookmarkEnd w:id="144"/>
      <w:r/>
      <w:bookmarkEnd w:id="145"/>
      <w:r>
        <w:rPr>
          <w:rFonts w:hint="eastAsia" w:ascii="宋体" w:hAnsi="宋体" w:cs="宋体"/>
          <w:bCs/>
          <w:color w:val="auto"/>
          <w:sz w:val="24"/>
          <w:szCs w:val="24"/>
          <w:highlight w:val="none"/>
        </w:rPr>
        <w:t xml:space="preserve">磋商程序及评审方法和评审标准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27.1磋商程序</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公章。</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公章。</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cs="宋体"/>
          <w:color w:val="auto"/>
          <w:sz w:val="24"/>
          <w:szCs w:val="24"/>
          <w:highlight w:val="none"/>
        </w:rPr>
        <w:t xml:space="preserve">最后报价要求函”及</w:t>
      </w:r>
      <w:r>
        <w:rPr>
          <w:rFonts w:hint="eastAsia" w:ascii="宋体" w:hAnsi="宋体" w:cs="宋体"/>
          <w:bCs/>
          <w:color w:val="auto"/>
          <w:sz w:val="24"/>
          <w:szCs w:val="24"/>
          <w:highlight w:val="none"/>
        </w:rPr>
        <w:t xml:space="preserve">最后报价格式表，要求其在规定时间内提交最后报价。</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27.1.3供应商未在磋商小组规定的时间内在苏采云系统中提交最后报价的视为放弃磋商，其响应文件按无效响应处理，最后报价格式表须加盖公章,否则视为未提交最后报价。已提交响应文件的供应商，在提交最后报价之前，可以根据磋商情况退出磋商，并在苏采云系统中提交“退出磋商函”并加盖公章。</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 评审方法和评审标准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27.2.2评审标准</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见本磋商文件第五章规定。</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27.3采购活动终止的情况</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出现下列情形之一的，本次竞争性磋商采购活动将被终止：</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27.3.1因情况变化，不再符合规定的竞争性磋商采购方式适用情形的。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27.3.2出现影响采购公正的违法、违规行为的。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left="479"/>
        <w:spacing w:line="360" w:lineRule="auto"/>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27.3.4在苏采云系统规定时间内成功解密电子响应文件的供应商不足3家的。</w:t>
      </w:r>
      <w:bookmarkStart w:id="146" w:name="_Toc20823307"/>
      <w:r/>
      <w:bookmarkStart w:id="147" w:name="_Toc16938551"/>
      <w:r/>
      <w:bookmarkStart w:id="148" w:name="_Toc120614219"/>
      <w:r/>
      <w:bookmarkStart w:id="149" w:name="_Toc513029235"/>
      <w:r>
        <w:rPr>
          <w:rFonts w:hint="eastAsia" w:ascii="宋体" w:hAnsi="宋体" w:cs="宋体"/>
          <w:b/>
          <w:bCs/>
          <w:color w:val="auto"/>
          <w:sz w:val="24"/>
          <w:szCs w:val="24"/>
          <w:highlight w:val="none"/>
        </w:rPr>
        <w:t xml:space="preserve">六、</w:t>
      </w:r>
      <w:bookmarkEnd w:id="146"/>
      <w:r/>
      <w:bookmarkEnd w:id="147"/>
      <w:r/>
      <w:bookmarkEnd w:id="148"/>
      <w:r/>
      <w:bookmarkEnd w:id="149"/>
      <w:r>
        <w:rPr>
          <w:rFonts w:hint="eastAsia" w:ascii="宋体" w:hAnsi="宋体" w:cs="宋体"/>
          <w:b/>
          <w:bCs/>
          <w:color w:val="auto"/>
          <w:sz w:val="24"/>
          <w:szCs w:val="24"/>
          <w:highlight w:val="none"/>
        </w:rPr>
        <w:t xml:space="preserve">成交</w:t>
      </w:r>
      <w:r/>
    </w:p>
    <w:p>
      <w:pPr>
        <w:ind w:firstLine="480"/>
        <w:keepLines/>
        <w:keepNext/>
        <w:spacing w:line="360" w:lineRule="auto"/>
        <w:rPr>
          <w:rFonts w:hint="eastAsia" w:ascii="宋体" w:hAnsi="宋体" w:cs="宋体"/>
          <w:bCs/>
          <w:color w:val="auto"/>
          <w:sz w:val="24"/>
          <w:szCs w:val="24"/>
          <w:highlight w:val="none"/>
        </w:rPr>
        <w:outlineLvl w:val="3"/>
      </w:pPr>
      <w:r/>
      <w:bookmarkStart w:id="150" w:name="_Toc513029238"/>
      <w:r/>
      <w:bookmarkStart w:id="151" w:name="_Toc20823310"/>
      <w:r/>
      <w:bookmarkStart w:id="152" w:name="_Toc16938554"/>
      <w:r>
        <w:rPr>
          <w:rFonts w:hint="eastAsia" w:ascii="宋体" w:hAnsi="宋体" w:cs="宋体"/>
          <w:bCs/>
          <w:color w:val="auto"/>
          <w:sz w:val="24"/>
          <w:szCs w:val="24"/>
          <w:highlight w:val="none"/>
        </w:rPr>
        <w:t xml:space="preserve">28、</w:t>
      </w:r>
      <w:bookmarkEnd w:id="150"/>
      <w:r>
        <w:rPr>
          <w:rFonts w:hint="eastAsia" w:ascii="宋体" w:hAnsi="宋体" w:cs="宋体"/>
          <w:bCs/>
          <w:color w:val="auto"/>
          <w:sz w:val="24"/>
          <w:szCs w:val="24"/>
          <w:highlight w:val="none"/>
        </w:rPr>
        <w:t xml:space="preserve">确定</w:t>
      </w:r>
      <w:bookmarkEnd w:id="151"/>
      <w:r/>
      <w:bookmarkEnd w:id="152"/>
      <w:r>
        <w:rPr>
          <w:rFonts w:hint="eastAsia" w:ascii="宋体" w:hAnsi="宋体" w:cs="宋体"/>
          <w:bCs/>
          <w:color w:val="auto"/>
          <w:sz w:val="24"/>
          <w:szCs w:val="24"/>
          <w:highlight w:val="none"/>
        </w:rPr>
        <w:t xml:space="preserve">成交单位</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28.1</w:t>
      </w:r>
      <w:r>
        <w:rPr>
          <w:rFonts w:hint="eastAsia" w:ascii="宋体" w:hAnsi="宋体" w:cs="宋体"/>
          <w:color w:val="auto"/>
          <w:sz w:val="24"/>
          <w:szCs w:val="24"/>
          <w:highlight w:val="none"/>
        </w:rPr>
        <w:t xml:space="preserve">磋商小组根据综合评分情况，按照评审得分由高到低顺序推荐3名成交候选</w:t>
      </w:r>
      <w:r>
        <w:rPr>
          <w:rFonts w:hint="eastAsia" w:ascii="宋体" w:hAnsi="宋体" w:cs="宋体"/>
          <w:bCs/>
          <w:color w:val="auto"/>
          <w:sz w:val="24"/>
          <w:szCs w:val="24"/>
          <w:highlight w:val="none"/>
        </w:rPr>
        <w:t xml:space="preserve">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w:t>
      </w:r>
      <w:r>
        <w:rPr>
          <w:rFonts w:hint="eastAsia" w:ascii="宋体" w:hAnsi="宋体" w:cs="宋体"/>
          <w:color w:val="auto"/>
          <w:sz w:val="24"/>
          <w:szCs w:val="24"/>
          <w:highlight w:val="none"/>
        </w:rPr>
        <w:t xml:space="preserve">不作为成交候选人。</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28.2采购人从评审报告提出的成交候选供应商中，按照排序由高到低的原则确定成交供应商。采购人确定成交供应商后，代理机构将在“江苏政府采购网”发布成交结果公告，公告期限为1个工作日。</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28.3若有充分证据证明，成交供应商出现下列情况之一的，一经查实，将被取消成交资格：</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28.3.1提供虚假材料谋取成交的。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28.3.2与评审专家、采购人、其他供应商或者代理机构工作人员恶意串通的。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28.3.3向评审专家、采购人或代理机构工作人员行贿或者提供其他不正当利益的。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28.3.4恶意竞争，最后报价明显低于其自身合理成本且又无法提供证明的。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28.3.5不满足本磋商文件规定的实质性要求，但在评审过程中又未被磋商小组发现的。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28.3.6成交后无正当理由拒不与采购人签订政府采购合同或者未按照磋商文件确定的事项签订政府采购合同的。</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28.3.7将政府采购合同转包的。</w:t>
      </w:r>
      <w:r/>
    </w:p>
    <w:p>
      <w:pPr>
        <w:ind w:firstLine="480"/>
        <w:keepLines/>
        <w:keepNext/>
        <w:spacing w:line="360" w:lineRule="auto"/>
        <w:rPr>
          <w:rFonts w:hint="eastAsia" w:ascii="宋体" w:hAnsi="宋体" w:cs="宋体"/>
          <w:bCs/>
          <w:color w:val="auto"/>
          <w:sz w:val="24"/>
          <w:szCs w:val="24"/>
          <w:highlight w:val="none"/>
        </w:rPr>
        <w:outlineLvl w:val="3"/>
      </w:pPr>
      <w:r/>
      <w:bookmarkStart w:id="153" w:name="_Toc200451960"/>
      <w:r>
        <w:rPr>
          <w:rFonts w:hint="eastAsia" w:ascii="宋体" w:hAnsi="宋体" w:cs="宋体"/>
          <w:bCs/>
          <w:color w:val="auto"/>
          <w:sz w:val="24"/>
          <w:szCs w:val="24"/>
          <w:highlight w:val="none"/>
        </w:rPr>
        <w:t xml:space="preserve">29、质疑处理</w:t>
      </w:r>
      <w:bookmarkEnd w:id="153"/>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29.2.1对可以质疑的采购文件提出质疑的，为收到采购文件之日或者采购文件公告期限届满之日。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　　29.2.3对成交结果提出质疑的，为成交结果公告期限届满之日。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29.4 供应商（含潜在供应商）对与本项目有关的所有询问、质疑均请向采购人提出，由采购人负责答复。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采购人及代理机构只接收以纸质原件形式送达的质疑,建议供应商尽量通过邮寄方式提交质疑（采购人和代理机构不接受未填写快递运单的快件）。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采购人质疑接收人及联系方式见本磋商文件第一章。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29.5.1 内容不符合《政府采购质疑和投诉办法》第十二条规定的质疑。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29.5.2 超出政府采购法定期限的质疑。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29.5.3 以传真、电子邮件等方式递交的非原件形式的质疑。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29.5.4 未参加磋商活动的供应商或在磋商活动中自身权益未受到损害的供应商所提出的质疑。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29.5.5供应商组成联合体参加磋商，联合体中任何一方或多方未按要求签字、盖章、加盖公章的质疑。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0"/>
        <w:keepLines/>
        <w:keepNext/>
        <w:spacing w:line="360" w:lineRule="auto"/>
        <w:rPr>
          <w:rFonts w:hint="eastAsia"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30、成交通知书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before="145" w:after="145" w:line="360" w:lineRule="auto"/>
        <w:rPr>
          <w:rFonts w:hint="eastAsia" w:ascii="宋体" w:hAnsi="宋体" w:cs="宋体"/>
          <w:b/>
          <w:bCs/>
          <w:color w:val="auto"/>
          <w:sz w:val="24"/>
          <w:szCs w:val="24"/>
          <w:highlight w:val="none"/>
        </w:rPr>
        <w:outlineLvl w:val="2"/>
      </w:pPr>
      <w:r/>
      <w:bookmarkStart w:id="154" w:name="_Toc120614220"/>
      <w:r/>
      <w:bookmarkStart w:id="155" w:name="_Toc20823308"/>
      <w:r/>
      <w:bookmarkStart w:id="156" w:name="_Toc513029236"/>
      <w:r/>
      <w:bookmarkStart w:id="157" w:name="_Toc16938552"/>
      <w:r>
        <w:rPr>
          <w:rFonts w:hint="eastAsia" w:ascii="宋体" w:hAnsi="宋体" w:cs="宋体"/>
          <w:b/>
          <w:bCs/>
          <w:color w:val="auto"/>
          <w:sz w:val="24"/>
          <w:szCs w:val="24"/>
          <w:highlight w:val="none"/>
        </w:rPr>
        <w:t xml:space="preserve">七、授予合同</w:t>
      </w:r>
      <w:bookmarkEnd w:id="154"/>
      <w:r/>
      <w:bookmarkEnd w:id="155"/>
      <w:r/>
      <w:bookmarkEnd w:id="156"/>
      <w:r/>
      <w:bookmarkEnd w:id="157"/>
      <w:r/>
      <w:r/>
    </w:p>
    <w:p>
      <w:pPr>
        <w:ind w:firstLine="480"/>
        <w:keepLines/>
        <w:keepNext/>
        <w:spacing w:line="360" w:lineRule="auto"/>
        <w:rPr>
          <w:rFonts w:hint="eastAsia" w:ascii="宋体" w:hAnsi="宋体" w:cs="宋体"/>
          <w:bCs/>
          <w:color w:val="auto"/>
          <w:sz w:val="24"/>
          <w:szCs w:val="24"/>
          <w:highlight w:val="none"/>
        </w:rPr>
        <w:outlineLvl w:val="3"/>
      </w:pPr>
      <w:r/>
      <w:bookmarkStart w:id="158" w:name="_Toc16938553"/>
      <w:r/>
      <w:bookmarkStart w:id="159" w:name="_Toc513029237"/>
      <w:r/>
      <w:bookmarkStart w:id="160" w:name="_Toc20823309"/>
      <w:r>
        <w:rPr>
          <w:rFonts w:hint="eastAsia" w:ascii="宋体" w:hAnsi="宋体" w:cs="宋体"/>
          <w:bCs/>
          <w:color w:val="auto"/>
          <w:sz w:val="24"/>
          <w:szCs w:val="24"/>
          <w:highlight w:val="none"/>
        </w:rPr>
        <w:t xml:space="preserve">31. 签订合同</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.l成交供应商应当在成交通知书发出之日起三十日内，按照磋商文件确定的事项与采购人签订政府采购合同。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31.2磋商文件、成交供应商的响应文件及磋商过程中有关澄清、承诺文件均应作为合同附件。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 签订合同后，</w:t>
      </w:r>
      <w:r>
        <w:rPr>
          <w:rFonts w:hint="eastAsia" w:ascii="宋体" w:hAnsi="宋体" w:cs="宋体"/>
          <w:iCs/>
          <w:color w:val="auto"/>
          <w:sz w:val="24"/>
          <w:szCs w:val="24"/>
          <w:highlight w:val="none"/>
        </w:rPr>
        <w:t xml:space="preserve">成交供应商不得将合同标的进行转包。</w:t>
      </w:r>
      <w:r>
        <w:rPr>
          <w:rFonts w:hint="eastAsia" w:ascii="宋体" w:hAnsi="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480"/>
        <w:keepLines/>
        <w:keepNext/>
        <w:spacing w:line="360" w:lineRule="auto"/>
        <w:rPr>
          <w:rFonts w:hint="eastAsia"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32、履约保证金</w:t>
      </w:r>
      <w:r/>
    </w:p>
    <w:p>
      <w:pPr>
        <w:ind w:firstLine="48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中标供应商在收到中标通知书后，在签订合同前向采购人缴纳履约保证金。本项目履约保证金为合同总额的10%，履约保证金应当以支票、汇票、本票或者金融机构、担保机构出具的保函等非现金形式提交，逾期视为乙方自动放弃成交资格，甲方有权按照相关程序另行确定成交供应商。</w:t>
      </w:r>
      <w:r/>
    </w:p>
    <w:p>
      <w:pPr>
        <w:ind w:firstLine="48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32.2履约保证金用以约束供应商在合同履行中的行为，弥补合同执行中由于自身行为可能给采购人带来的各种损失。如果成交供应商未缴纳履约保证金，采购人有权取消本次采购中标决定。</w:t>
      </w:r>
      <w:r/>
    </w:p>
    <w:p>
      <w:pPr>
        <w:ind w:firstLine="48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32.3履约保证金的退还：合同履行结束后，成交供应商办理履约保证金退还手续后15日内退还。采购人逾期退还履约保证金的，按照同期银行活期存款利率承担违约责任。</w:t>
      </w:r>
      <w:r/>
    </w:p>
    <w:p>
      <w:pPr>
        <w:ind w:firstLine="480"/>
        <w:keepLines/>
        <w:keepNext/>
        <w:spacing w:line="360" w:lineRule="auto"/>
        <w:rPr>
          <w:rFonts w:hint="eastAsia" w:ascii="宋体" w:hAnsi="宋体" w:cs="宋体"/>
          <w:bCs/>
          <w:color w:val="auto"/>
          <w:sz w:val="24"/>
          <w:szCs w:val="24"/>
          <w:highlight w:val="none"/>
        </w:rPr>
        <w:outlineLvl w:val="3"/>
      </w:pPr>
      <w:r>
        <w:rPr>
          <w:rFonts w:hint="eastAsia" w:ascii="宋体" w:hAnsi="宋体" w:cs="宋体"/>
          <w:bCs/>
          <w:color w:val="auto"/>
          <w:sz w:val="24"/>
          <w:szCs w:val="24"/>
          <w:highlight w:val="none"/>
        </w:rPr>
        <w:t xml:space="preserve">33、标的物的追加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8"/>
      <w:r/>
      <w:bookmarkEnd w:id="159"/>
      <w:r/>
      <w:bookmarkEnd w:id="160"/>
      <w:r/>
      <w:bookmarkStart w:id="161" w:name="_Toc479757207"/>
      <w:r/>
      <w:bookmarkStart w:id="162" w:name="_Toc120614221"/>
      <w:r/>
      <w:bookmarkStart w:id="163" w:name="_Toc16938558"/>
      <w:r/>
      <w:bookmarkStart w:id="164" w:name="_Toc513029242"/>
      <w:r/>
      <w:bookmarkStart w:id="165" w:name="_Toc20823314"/>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34、政府采购履约资金扶持政策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34.1成交供应商可凭政府采购合同办理融资贷款，详情请见江苏政府采购网“政采贷”专栏。</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keepNext/>
        <w:spacing w:before="260" w:after="260" w:line="416" w:lineRule="auto"/>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br w:type="column"/>
      </w:r>
      <w:r>
        <w:rPr>
          <w:rFonts w:hint="eastAsia" w:ascii="宋体" w:hAnsi="宋体" w:cs="宋体"/>
          <w:b/>
          <w:bCs/>
          <w:color w:val="auto"/>
          <w:sz w:val="32"/>
          <w:szCs w:val="32"/>
          <w:highlight w:val="none"/>
        </w:rPr>
        <w:t xml:space="preserve">第三章  合同</w:t>
      </w:r>
      <w:bookmarkEnd w:id="161"/>
      <w:r/>
      <w:bookmarkEnd w:id="162"/>
      <w:r/>
      <w:bookmarkEnd w:id="163"/>
      <w:r/>
      <w:bookmarkEnd w:id="164"/>
      <w:r/>
      <w:bookmarkEnd w:id="165"/>
      <w:r>
        <w:rPr>
          <w:rFonts w:hint="eastAsia" w:ascii="宋体" w:hAnsi="宋体" w:cs="宋体"/>
          <w:b/>
          <w:bCs/>
          <w:color w:val="auto"/>
          <w:sz w:val="32"/>
          <w:szCs w:val="32"/>
          <w:highlight w:val="none"/>
        </w:rPr>
        <w:t xml:space="preserve">文本</w:t>
      </w:r>
      <w:r/>
    </w:p>
    <w:p>
      <w:pPr>
        <w:pStyle w:val="1153"/>
        <w:ind w:firstLine="0"/>
        <w:jc w:val="center"/>
        <w:spacing w:line="360" w:lineRule="auto"/>
        <w:rPr>
          <w:rFonts w:hint="eastAsia" w:hAnsi="宋体" w:cs="宋体"/>
          <w:b/>
          <w:color w:val="auto"/>
          <w:szCs w:val="24"/>
          <w:highlight w:val="none"/>
        </w:rPr>
      </w:pPr>
      <w:r/>
      <w:bookmarkStart w:id="166" w:name="_Hlt16619369"/>
      <w:r/>
      <w:bookmarkEnd w:id="166"/>
      <w:r/>
      <w:bookmarkStart w:id="167" w:name="_Hlt16619350"/>
      <w:r/>
      <w:bookmarkStart w:id="168" w:name="_Toc120614244"/>
      <w:r/>
      <w:bookmarkStart w:id="169" w:name="_Toc16938590"/>
      <w:r/>
      <w:bookmarkStart w:id="170" w:name="_Toc20823346"/>
      <w:r/>
      <w:bookmarkStart w:id="171" w:name="_Toc462564139"/>
      <w:r/>
      <w:bookmarkStart w:id="172" w:name="_Toc479757211"/>
      <w:r>
        <w:rPr>
          <w:rFonts w:hint="eastAsia" w:hAnsi="宋体" w:cs="宋体"/>
          <w:b/>
          <w:color w:val="auto"/>
          <w:szCs w:val="24"/>
          <w:highlight w:val="none"/>
        </w:rPr>
        <w:t xml:space="preserve">第一部分 合同书</w:t>
      </w:r>
      <w:r/>
    </w:p>
    <w:p>
      <w:pPr>
        <w:ind w:left="96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p>
    <w:p>
      <w:pPr>
        <w:pStyle w:val="1154"/>
        <w:spacing w:before="1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54"/>
        <w:spacing w:before="1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960"/>
        <w:spacing w:before="12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甲方：</w:t>
      </w:r>
      <w:r>
        <w:rPr>
          <w:rFonts w:hint="eastAsia" w:ascii="宋体" w:hAnsi="宋体" w:cs="宋体"/>
          <w:color w:val="auto"/>
          <w:sz w:val="24"/>
          <w:szCs w:val="24"/>
          <w:highlight w:val="none"/>
          <w:u w:val="single"/>
        </w:rPr>
        <w:t xml:space="preserve">                                     </w:t>
      </w:r>
      <w:r/>
    </w:p>
    <w:p>
      <w:pPr>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960"/>
        <w:spacing w:before="12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乙方：</w:t>
      </w:r>
      <w:r>
        <w:rPr>
          <w:rFonts w:hint="eastAsia" w:ascii="宋体" w:hAnsi="宋体" w:cs="宋体"/>
          <w:color w:val="auto"/>
          <w:sz w:val="24"/>
          <w:szCs w:val="24"/>
          <w:highlight w:val="none"/>
          <w:u w:val="single"/>
        </w:rPr>
        <w:t xml:space="preserve">                                       </w:t>
      </w:r>
      <w:r/>
    </w:p>
    <w:p>
      <w:pPr>
        <w:ind w:left="960"/>
        <w:spacing w:before="12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highlight w:val="none"/>
          <w:u w:val="single"/>
        </w:rPr>
      </w:pPr>
      <w:r>
        <w:rPr>
          <w:rFonts w:hint="eastAsia" w:ascii="宋体" w:hAnsi="宋体" w:cs="宋体"/>
          <w:color w:val="auto"/>
          <w:sz w:val="24"/>
          <w:szCs w:val="24"/>
          <w:highlight w:val="none"/>
        </w:rPr>
        <w:t xml:space="preserve">                       </w:t>
      </w:r>
      <w:r/>
    </w:p>
    <w:p>
      <w:pPr>
        <w:ind w:firstLine="960"/>
        <w:spacing w:before="12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签订地：</w:t>
      </w:r>
      <w:r>
        <w:rPr>
          <w:rFonts w:hint="eastAsia" w:ascii="宋体" w:hAnsi="宋体" w:cs="宋体"/>
          <w:color w:val="auto"/>
          <w:sz w:val="24"/>
          <w:szCs w:val="24"/>
          <w:highlight w:val="none"/>
          <w:u w:val="single"/>
        </w:rPr>
        <w:t xml:space="preserve">                                     </w:t>
      </w:r>
      <w:r/>
    </w:p>
    <w:p>
      <w:pPr>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960"/>
        <w:spacing w:before="12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签订日期：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640"/>
        <w:jc w:val="center"/>
        <w:spacing w:line="360" w:lineRule="auto"/>
        <w:rPr>
          <w:rFonts w:hint="eastAsia" w:ascii="宋体" w:hAnsi="宋体" w:cs="宋体"/>
          <w:color w:val="auto"/>
          <w:sz w:val="24"/>
          <w:szCs w:val="24"/>
          <w:highlight w:val="none"/>
        </w:rPr>
        <w:sectPr>
          <w:footerReference w:type="default" r:id="rId13"/>
          <w:footnotePr/>
          <w:endnotePr/>
          <w:type w:val="nextPage"/>
          <w:pgSz w:w="11907" w:h="16840" w:orient="portrait"/>
          <w:pgMar w:top="1429" w:right="1531" w:bottom="1417" w:left="1587" w:header="851" w:footer="851" w:gutter="0"/>
          <w:pgNumType w:start="1"/>
          <w:cols w:num="1" w:sep="0" w:space="1701" w:equalWidth="1"/>
          <w:docGrid w:linePitch="360"/>
        </w:sectPr>
      </w:pPr>
      <w:r>
        <w:rPr>
          <w:rFonts w:hint="eastAsia" w:ascii="宋体" w:hAnsi="宋体" w:cs="宋体"/>
          <w:color w:val="auto"/>
          <w:sz w:val="24"/>
          <w:szCs w:val="24"/>
          <w:highlight w:val="none"/>
        </w:rPr>
      </w:r>
      <w:r/>
    </w:p>
    <w:p>
      <w:pPr>
        <w:pStyle w:val="1153"/>
        <w:ind w:firstLine="0"/>
        <w:jc w:val="center"/>
        <w:spacing w:line="360" w:lineRule="auto"/>
        <w:rPr>
          <w:rFonts w:hint="eastAsia" w:hAnsi="宋体" w:cs="宋体"/>
          <w:b/>
          <w:color w:val="auto"/>
          <w:szCs w:val="24"/>
          <w:highlight w:val="none"/>
        </w:rPr>
      </w:pPr>
      <w:r>
        <w:rPr>
          <w:rFonts w:hint="eastAsia" w:hAnsi="宋体" w:cs="宋体"/>
          <w:b/>
          <w:color w:val="auto"/>
          <w:szCs w:val="24"/>
          <w:highlight w:val="none"/>
        </w:rPr>
      </w:r>
      <w:r/>
    </w:p>
    <w:p>
      <w:pPr>
        <w:jc w:val="center"/>
        <w:spacing w:line="460" w:lineRule="exact"/>
        <w:rPr>
          <w:rFonts w:hint="eastAsia" w:eastAsia="宋体"/>
          <w:color w:val="auto"/>
          <w:sz w:val="24"/>
          <w:highlight w:val="none"/>
          <w:lang w:eastAsia="zh-CN"/>
        </w:rPr>
      </w:pPr>
      <w:r>
        <w:rPr>
          <w:rFonts w:hint="eastAsia" w:ascii="宋体" w:hAnsi="宋体" w:cs="宋体"/>
          <w:b/>
          <w:bCs/>
          <w:color w:val="auto"/>
          <w:sz w:val="36"/>
          <w:szCs w:val="36"/>
          <w:highlight w:val="none"/>
          <w:lang w:eastAsia="zh-CN"/>
        </w:rPr>
        <w:t xml:space="preserve">川姜镇2026-2028年度安置小区电梯“保险+服务”项目（第三次）</w:t>
      </w:r>
      <w:r/>
    </w:p>
    <w:p>
      <w:pPr>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szCs w:val="24"/>
          <w:highlight w:val="none"/>
        </w:rPr>
        <w:t xml:space="preserve">甲方（投保人）：</w:t>
      </w:r>
      <w:r>
        <w:rPr>
          <w:rFonts w:hint="eastAsia" w:ascii="宋体" w:hAnsi="宋体" w:cs="宋体"/>
          <w:color w:val="auto"/>
          <w:sz w:val="24"/>
          <w:szCs w:val="24"/>
          <w:highlight w:val="none"/>
          <w:u w:val="single"/>
        </w:rPr>
        <w:t xml:space="preserve">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乙方（保险人）：</w:t>
      </w:r>
      <w:r>
        <w:rPr>
          <w:rFonts w:hint="eastAsia" w:ascii="宋体" w:hAnsi="宋体" w:cs="宋体"/>
          <w:color w:val="auto"/>
          <w:sz w:val="24"/>
          <w:szCs w:val="24"/>
          <w:highlight w:val="none"/>
          <w:u w:val="single"/>
        </w:rPr>
        <w:t xml:space="preserve">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根据《中华人民共和国</w:t>
      </w:r>
      <w:r>
        <w:rPr>
          <w:rFonts w:hint="eastAsia" w:ascii="宋体" w:hAnsi="宋体" w:cs="宋体"/>
          <w:color w:val="auto"/>
          <w:sz w:val="24"/>
          <w:szCs w:val="24"/>
          <w:highlight w:val="none"/>
          <w:lang w:eastAsia="zh-Hans"/>
        </w:rPr>
        <w:t xml:space="preserve">民法典</w:t>
      </w:r>
      <w:r>
        <w:rPr>
          <w:rFonts w:hint="eastAsia" w:ascii="宋体" w:hAnsi="宋体" w:cs="宋体"/>
          <w:color w:val="auto"/>
          <w:sz w:val="24"/>
          <w:szCs w:val="24"/>
          <w:highlight w:val="none"/>
        </w:rPr>
        <w:t xml:space="preserve">》、《特种设备安全监察条例》、《电梯使用管理与维护保养规则》（TSG T5002-2017）、GB/T 31821-2015  《电梯主要部件报废技术条件》、DB33/T 955-2015《曳引式电梯主要部件判废技术要求》以及《物业管理条例》等有关规定，遵循平等、自愿、公平和诚实信用的原则，甲乙双方就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川姜镇2026-2028年度安置小区电梯“保险+服务”项目（第三次）</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192 台</w:t>
      </w:r>
      <w:r>
        <w:rPr>
          <w:rFonts w:hint="eastAsia" w:ascii="宋体" w:hAnsi="宋体" w:cs="宋体"/>
          <w:color w:val="auto"/>
          <w:sz w:val="24"/>
          <w:szCs w:val="24"/>
          <w:highlight w:val="none"/>
        </w:rPr>
        <w:t xml:space="preserve">电梯综合保险服务事宜协商一致，达成如下合同条款：</w:t>
      </w:r>
      <w:r/>
    </w:p>
    <w:p>
      <w:pPr>
        <w:jc w:val="left"/>
        <w:spacing w:line="460" w:lineRule="exact"/>
        <w:rPr>
          <w:rFonts w:ascii="Calibri Light" w:hAnsi="Calibri Light"/>
          <w:b/>
          <w:bCs/>
          <w:color w:val="auto"/>
          <w:sz w:val="24"/>
          <w:highlight w:val="none"/>
          <w:lang w:eastAsia="zh-Hans"/>
        </w:rPr>
        <w:outlineLvl w:val="0"/>
      </w:pPr>
      <w:r>
        <w:rPr>
          <w:rFonts w:hint="eastAsia" w:ascii="Calibri Light" w:hAnsi="Calibri Light"/>
          <w:b/>
          <w:bCs/>
          <w:color w:val="auto"/>
          <w:sz w:val="24"/>
          <w:szCs w:val="24"/>
          <w:highlight w:val="none"/>
        </w:rPr>
        <w:t xml:space="preserve">一、</w:t>
      </w:r>
      <w:r>
        <w:rPr>
          <w:rFonts w:hint="eastAsia" w:ascii="Calibri Light" w:hAnsi="Calibri Light"/>
          <w:b/>
          <w:bCs/>
          <w:color w:val="auto"/>
          <w:sz w:val="24"/>
          <w:szCs w:val="24"/>
          <w:highlight w:val="none"/>
          <w:lang w:eastAsia="zh-Hans"/>
        </w:rPr>
        <w:t xml:space="preserve">保险方案</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Hans"/>
        </w:rPr>
        <w:t xml:space="preserve">.被保险人：</w:t>
      </w:r>
      <w:r/>
    </w:p>
    <w:p>
      <w:pPr>
        <w:ind w:firstLine="480"/>
        <w:spacing w:line="460" w:lineRule="exact"/>
        <w:rPr>
          <w:rFonts w:hint="eastAsia" w:ascii="宋体" w:hAnsi="宋体" w:cs="宋体"/>
          <w:color w:val="auto"/>
          <w:sz w:val="24"/>
          <w:highlight w:val="none"/>
          <w:lang w:eastAsia="zh-Hans"/>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Hans"/>
        </w:rPr>
        <w:t xml:space="preserve">.</w:t>
      </w:r>
      <w:r>
        <w:rPr>
          <w:rFonts w:hint="eastAsia" w:ascii="宋体" w:hAnsi="宋体" w:cs="宋体"/>
          <w:color w:val="auto"/>
          <w:sz w:val="24"/>
          <w:szCs w:val="24"/>
          <w:highlight w:val="none"/>
        </w:rPr>
        <w:t xml:space="preserve">保险人</w:t>
      </w:r>
      <w:r>
        <w:rPr>
          <w:rFonts w:hint="eastAsia" w:ascii="宋体" w:hAnsi="宋体" w:cs="宋体"/>
          <w:color w:val="auto"/>
          <w:sz w:val="24"/>
          <w:szCs w:val="24"/>
          <w:highlight w:val="none"/>
          <w:lang w:eastAsia="zh-Hans"/>
        </w:rPr>
        <w:t xml:space="preserve">：</w:t>
      </w:r>
      <w:r/>
    </w:p>
    <w:p>
      <w:pPr>
        <w:ind w:firstLine="480"/>
        <w:spacing w:line="460" w:lineRule="exact"/>
        <w:rPr>
          <w:rFonts w:hint="eastAsia" w:ascii="宋体" w:hAnsi="宋体" w:cs="宋体"/>
          <w:color w:val="auto"/>
          <w:sz w:val="24"/>
          <w:highlight w:val="none"/>
          <w:lang w:eastAsia="zh-Hans"/>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Hans"/>
        </w:rPr>
        <w:t xml:space="preserve">.投保项目及内容：</w:t>
      </w:r>
      <w:r/>
    </w:p>
    <w:p>
      <w:pPr>
        <w:ind w:firstLine="480"/>
        <w:spacing w:line="460" w:lineRule="exact"/>
        <w:widowControl/>
        <w:rPr>
          <w:rFonts w:eastAsia="Times New Roman"/>
          <w:color w:val="auto"/>
          <w:sz w:val="24"/>
          <w:highlight w:val="none"/>
        </w:rPr>
      </w:pPr>
      <w:r>
        <w:rPr>
          <w:rFonts w:hint="eastAsia" w:ascii="宋体" w:hAnsi="宋体" w:cs="宋体"/>
          <w:color w:val="auto"/>
          <w:sz w:val="24"/>
          <w:szCs w:val="24"/>
          <w:highlight w:val="none"/>
        </w:rPr>
        <w:t xml:space="preserve">（1）</w:t>
      </w:r>
      <w:r>
        <w:rPr>
          <w:rFonts w:eastAsia="Times New Roman"/>
          <w:color w:val="auto"/>
          <w:sz w:val="24"/>
          <w:szCs w:val="24"/>
          <w:highlight w:val="none"/>
        </w:rPr>
        <w:t xml:space="preserve">本保单承保</w:t>
      </w:r>
      <w:r>
        <w:rPr>
          <w:rFonts w:hint="eastAsia" w:ascii="宋体" w:hAnsi="宋体" w:cs="宋体"/>
          <w:color w:val="auto"/>
          <w:sz w:val="24"/>
          <w:szCs w:val="24"/>
          <w:highlight w:val="none"/>
        </w:rPr>
        <w:t xml:space="preserve">项目</w:t>
      </w:r>
      <w:r>
        <w:rPr>
          <w:rFonts w:eastAsia="Times New Roman"/>
          <w:color w:val="auto"/>
          <w:sz w:val="24"/>
          <w:szCs w:val="24"/>
          <w:highlight w:val="none"/>
        </w:rPr>
        <w:t xml:space="preserve">:</w:t>
      </w:r>
      <w:r>
        <w:rPr>
          <w:rFonts w:hint="eastAsia" w:ascii="宋体" w:hAnsi="宋体" w:cs="宋体"/>
          <w:color w:val="auto"/>
          <w:sz w:val="24"/>
          <w:szCs w:val="24"/>
          <w:highlight w:val="none"/>
          <w:u w:val="single"/>
          <w:lang w:eastAsia="zh-CN"/>
        </w:rPr>
        <w:t xml:space="preserve">川姜镇2026-2028年度安置小区电梯“保险+服务”项目（第三次）</w:t>
      </w:r>
      <w:r>
        <w:rPr>
          <w:rFonts w:eastAsia="Times New Roman"/>
          <w:color w:val="auto"/>
          <w:sz w:val="24"/>
          <w:szCs w:val="24"/>
          <w:highlight w:val="none"/>
        </w:rPr>
        <w:t xml:space="preserve">，以现状进行移</w:t>
      </w:r>
      <w:r>
        <w:rPr>
          <w:rFonts w:hint="eastAsia" w:eastAsia="Times New Roman"/>
          <w:color w:val="auto"/>
          <w:sz w:val="24"/>
          <w:szCs w:val="24"/>
          <w:highlight w:val="none"/>
        </w:rPr>
        <w:t xml:space="preserve">交。</w:t>
      </w:r>
      <w:r/>
    </w:p>
    <w:p>
      <w:pPr>
        <w:ind w:firstLine="480"/>
        <w:spacing w:line="460" w:lineRule="exact"/>
        <w:rPr>
          <w:color w:val="auto"/>
          <w:sz w:val="24"/>
          <w:highlight w:val="none"/>
          <w:lang w:eastAsia="zh-Hans"/>
        </w:rPr>
      </w:pPr>
      <w:r>
        <w:rPr>
          <w:rFonts w:hint="eastAsia"/>
          <w:color w:val="auto"/>
          <w:sz w:val="24"/>
          <w:szCs w:val="24"/>
          <w:highlight w:val="none"/>
        </w:rPr>
        <w:t xml:space="preserve">（2）</w:t>
      </w:r>
      <w:r>
        <w:rPr>
          <w:color w:val="auto"/>
          <w:sz w:val="24"/>
          <w:szCs w:val="24"/>
          <w:highlight w:val="none"/>
        </w:rPr>
        <w:t xml:space="preserve">承保电梯品牌、型号</w:t>
      </w:r>
      <w:r>
        <w:rPr>
          <w:rFonts w:hint="eastAsia"/>
          <w:color w:val="auto"/>
          <w:sz w:val="24"/>
          <w:szCs w:val="24"/>
          <w:highlight w:val="none"/>
        </w:rPr>
        <w:t xml:space="preserve">等信息</w:t>
      </w:r>
      <w:r>
        <w:rPr>
          <w:color w:val="auto"/>
          <w:sz w:val="24"/>
          <w:szCs w:val="24"/>
          <w:highlight w:val="none"/>
        </w:rPr>
        <w:t xml:space="preserve">详见清单。</w:t>
      </w:r>
      <w:r/>
    </w:p>
    <w:p>
      <w:pPr>
        <w:ind w:firstLine="480"/>
        <w:spacing w:line="460" w:lineRule="exact"/>
        <w:rPr>
          <w:color w:val="auto"/>
          <w:sz w:val="24"/>
          <w:highlight w:val="none"/>
        </w:rPr>
      </w:pPr>
      <w:r>
        <w:rPr>
          <w:color w:val="auto"/>
          <w:sz w:val="24"/>
          <w:szCs w:val="24"/>
          <w:highlight w:val="none"/>
        </w:rPr>
        <w:t xml:space="preserve">4</w:t>
      </w:r>
      <w:r>
        <w:rPr>
          <w:rFonts w:hint="eastAsia"/>
          <w:color w:val="auto"/>
          <w:sz w:val="24"/>
          <w:szCs w:val="24"/>
          <w:highlight w:val="none"/>
        </w:rPr>
        <w:t xml:space="preserve">.</w:t>
      </w:r>
      <w:r>
        <w:rPr>
          <w:rFonts w:hint="eastAsia" w:ascii="宋体" w:hAnsi="宋体" w:cs="宋体"/>
          <w:color w:val="auto"/>
          <w:sz w:val="24"/>
          <w:szCs w:val="24"/>
          <w:highlight w:val="none"/>
        </w:rPr>
        <w:t xml:space="preserve">投保险种</w:t>
      </w:r>
      <w:r>
        <w:rPr>
          <w:rFonts w:hint="eastAsia" w:ascii="宋体" w:hAnsi="宋体" w:cs="宋体"/>
          <w:color w:val="auto"/>
          <w:sz w:val="24"/>
          <w:szCs w:val="24"/>
          <w:highlight w:val="none"/>
          <w:lang w:eastAsia="zh-Hans"/>
        </w:rPr>
        <w:t xml:space="preserve">：</w:t>
      </w:r>
      <w:r/>
    </w:p>
    <w:p>
      <w:pPr>
        <w:ind w:firstLine="480"/>
        <w:spacing w:line="460" w:lineRule="exact"/>
        <w:rPr>
          <w:rFonts w:hint="eastAsia" w:eastAsia="宋体"/>
          <w:color w:val="auto"/>
          <w:sz w:val="24"/>
          <w:szCs w:val="24"/>
          <w:highlight w:val="none"/>
        </w:rPr>
      </w:pPr>
      <w:r>
        <w:rPr>
          <w:rFonts w:hint="eastAsia" w:eastAsia="宋体"/>
          <w:color w:val="auto"/>
          <w:sz w:val="24"/>
          <w:szCs w:val="24"/>
          <w:highlight w:val="none"/>
          <w:lang w:eastAsia="zh-Hans"/>
        </w:rPr>
        <w:t xml:space="preserve">第一部分：</w:t>
      </w:r>
      <w:r>
        <w:rPr>
          <w:rFonts w:hint="eastAsia" w:eastAsia="宋体"/>
          <w:color w:val="auto"/>
          <w:sz w:val="24"/>
          <w:szCs w:val="24"/>
          <w:highlight w:val="none"/>
        </w:rPr>
        <w:t xml:space="preserve">电梯第三者责任保障</w:t>
      </w:r>
      <w:r/>
    </w:p>
    <w:p>
      <w:pPr>
        <w:ind w:firstLine="480"/>
        <w:spacing w:line="460" w:lineRule="exact"/>
        <w:rPr>
          <w:rFonts w:hint="eastAsia" w:ascii="宋体" w:hAnsi="宋体" w:cs="宋体"/>
          <w:b/>
          <w:bCs/>
          <w:color w:val="auto"/>
          <w:sz w:val="24"/>
          <w:highlight w:val="none"/>
          <w:lang w:eastAsia="zh-Hans"/>
        </w:rPr>
      </w:pPr>
      <w:r>
        <w:rPr>
          <w:rFonts w:hint="eastAsia" w:ascii="宋体" w:hAnsi="宋体" w:cs="宋体"/>
          <w:b/>
          <w:bCs/>
          <w:color w:val="auto"/>
          <w:sz w:val="24"/>
          <w:szCs w:val="24"/>
          <w:highlight w:val="none"/>
          <w:lang w:eastAsia="zh-Hans"/>
        </w:rPr>
        <w:t xml:space="preserve">电梯人员伤亡或财产损失补偿</w:t>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szCs w:val="24"/>
          <w:highlight w:val="none"/>
          <w:lang w:eastAsia="zh-Hans"/>
        </w:rPr>
        <w:t xml:space="preserve">每梯每年累计赔偿限额</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800</w:t>
      </w:r>
      <w:r>
        <w:rPr>
          <w:rFonts w:hint="eastAsia" w:ascii="宋体" w:hAnsi="宋体" w:cs="宋体"/>
          <w:b/>
          <w:bCs/>
          <w:color w:val="auto"/>
          <w:sz w:val="24"/>
          <w:szCs w:val="24"/>
          <w:highlight w:val="none"/>
          <w:lang w:eastAsia="zh-Hans"/>
        </w:rPr>
        <w:t xml:space="preserve">万元</w:t>
      </w:r>
      <w:r>
        <w:rPr>
          <w:rFonts w:hint="eastAsia" w:ascii="宋体" w:hAnsi="宋体" w:cs="宋体"/>
          <w:b/>
          <w:bCs/>
          <w:color w:val="auto"/>
          <w:sz w:val="24"/>
          <w:szCs w:val="24"/>
          <w:highlight w:val="none"/>
        </w:rPr>
        <w:t xml:space="preserve">。</w:t>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szCs w:val="24"/>
          <w:highlight w:val="none"/>
          <w:lang w:eastAsia="zh-Hans"/>
        </w:rPr>
        <w:t xml:space="preserve">每人身故或伤残赔偿限额</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80</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万元。</w:t>
      </w:r>
      <w:r/>
    </w:p>
    <w:p>
      <w:pPr>
        <w:ind w:firstLine="482"/>
        <w:spacing w:line="460" w:lineRule="exact"/>
        <w:rPr>
          <w:rFonts w:hint="eastAsia" w:ascii="宋体" w:hAnsi="宋体" w:cs="宋体"/>
          <w:b/>
          <w:bCs/>
          <w:color w:val="auto"/>
          <w:sz w:val="24"/>
          <w:highlight w:val="none"/>
          <w:lang w:eastAsia="zh-Hans"/>
        </w:rPr>
      </w:pPr>
      <w:r>
        <w:rPr>
          <w:rFonts w:hint="eastAsia" w:ascii="宋体" w:hAnsi="宋体" w:cs="宋体"/>
          <w:b/>
          <w:bCs/>
          <w:color w:val="auto"/>
          <w:sz w:val="24"/>
          <w:szCs w:val="24"/>
          <w:highlight w:val="none"/>
          <w:lang w:eastAsia="zh-Hans"/>
        </w:rPr>
        <w:t xml:space="preserve">每人每年事故医疗费用赔偿限额</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8</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lang w:eastAsia="zh-Hans"/>
        </w:rPr>
        <w:t xml:space="preserve">万元。</w:t>
      </w:r>
      <w:r/>
    </w:p>
    <w:p>
      <w:pPr>
        <w:ind w:firstLine="482"/>
        <w:spacing w:line="460" w:lineRule="exact"/>
        <w:rPr>
          <w:rFonts w:hint="eastAsia" w:ascii="宋体" w:hAnsi="宋体" w:cs="宋体"/>
          <w:b/>
          <w:bCs/>
          <w:color w:val="auto"/>
          <w:sz w:val="24"/>
          <w:highlight w:val="none"/>
          <w:lang w:eastAsia="zh-Hans"/>
        </w:rPr>
      </w:pPr>
      <w:r>
        <w:rPr>
          <w:rFonts w:hint="eastAsia" w:ascii="宋体" w:hAnsi="宋体" w:cs="宋体"/>
          <w:b/>
          <w:bCs/>
          <w:color w:val="auto"/>
          <w:sz w:val="24"/>
          <w:szCs w:val="24"/>
          <w:highlight w:val="none"/>
          <w:lang w:eastAsia="zh-Hans"/>
        </w:rPr>
        <w:t xml:space="preserve">每人每年事故财产损失赔偿限额</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2</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lang w:eastAsia="zh-Hans"/>
        </w:rPr>
        <w:t xml:space="preserve">万元。</w:t>
      </w:r>
      <w:r/>
    </w:p>
    <w:p>
      <w:pPr>
        <w:ind w:left="420"/>
        <w:spacing w:line="39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Hans"/>
        </w:rPr>
        <w:t xml:space="preserve">第二部分：</w:t>
      </w:r>
      <w:r>
        <w:rPr>
          <w:rFonts w:hint="eastAsia" w:ascii="宋体" w:hAnsi="宋体" w:cs="宋体"/>
          <w:color w:val="auto"/>
          <w:sz w:val="24"/>
          <w:szCs w:val="24"/>
          <w:highlight w:val="none"/>
        </w:rPr>
        <w:t xml:space="preserve">电梯财产保险责任</w:t>
      </w:r>
      <w:r/>
    </w:p>
    <w:p>
      <w:pPr>
        <w:ind w:firstLine="480"/>
        <w:spacing w:line="460" w:lineRule="exact"/>
        <w:widowControl/>
        <w:rPr>
          <w:rFonts w:eastAsia="Times New Roman"/>
          <w:b/>
          <w:bCs/>
          <w:color w:val="auto"/>
          <w:sz w:val="24"/>
          <w:highlight w:val="none"/>
        </w:rPr>
      </w:pPr>
      <w:r>
        <w:rPr>
          <w:rFonts w:hint="eastAsia" w:eastAsia="Times New Roman"/>
          <w:b/>
          <w:bCs/>
          <w:color w:val="auto"/>
          <w:sz w:val="24"/>
          <w:szCs w:val="24"/>
          <w:highlight w:val="none"/>
        </w:rPr>
        <w:t xml:space="preserve">每台电梯责任限额</w:t>
      </w:r>
      <w:r>
        <w:rPr>
          <w:rFonts w:eastAsia="Times New Roman"/>
          <w:b/>
          <w:bCs/>
          <w:color w:val="auto"/>
          <w:sz w:val="24"/>
          <w:szCs w:val="24"/>
          <w:highlight w:val="none"/>
          <w:u w:val="single"/>
        </w:rPr>
        <w:t xml:space="preserve"> </w:t>
      </w:r>
      <w:r>
        <w:rPr>
          <w:rFonts w:hint="eastAsia"/>
          <w:b/>
          <w:bCs/>
          <w:color w:val="auto"/>
          <w:sz w:val="24"/>
          <w:szCs w:val="24"/>
          <w:highlight w:val="none"/>
          <w:u w:val="single"/>
        </w:rPr>
        <w:t xml:space="preserve">20</w:t>
      </w:r>
      <w:r>
        <w:rPr>
          <w:rFonts w:eastAsia="Times New Roman"/>
          <w:b/>
          <w:bCs/>
          <w:color w:val="auto"/>
          <w:sz w:val="24"/>
          <w:szCs w:val="24"/>
          <w:highlight w:val="none"/>
          <w:u w:val="single"/>
        </w:rPr>
        <w:t xml:space="preserve"> </w:t>
      </w:r>
      <w:r>
        <w:rPr>
          <w:rFonts w:eastAsia="Times New Roman"/>
          <w:b/>
          <w:bCs/>
          <w:color w:val="auto"/>
          <w:sz w:val="24"/>
          <w:szCs w:val="24"/>
          <w:highlight w:val="none"/>
        </w:rPr>
        <w:t xml:space="preserve">万元</w:t>
      </w:r>
      <w:r/>
    </w:p>
    <w:p>
      <w:pPr>
        <w:ind w:firstLine="241"/>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二、服务方案</w:t>
      </w:r>
      <w:r/>
    </w:p>
    <w:p>
      <w:pPr>
        <w:ind w:firstLine="480"/>
        <w:spacing w:line="460" w:lineRule="exact"/>
        <w:rPr>
          <w:rFonts w:hint="eastAsia" w:ascii="宋体" w:hAnsi="宋体" w:cs="宋体"/>
          <w:color w:val="auto"/>
          <w:sz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、确定电梯服务机构</w:t>
      </w:r>
      <w:r/>
    </w:p>
    <w:p>
      <w:pPr>
        <w:ind w:left="29"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经甲方许可同意的电梯服务机构，同甲、乙双方签订协议后，成为项目电梯的服务机构。乙方及电梯服务机构应接受和服从甲方管理，否则甲方有权按照合同文件及相关规定进行相应处罚。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2、乙方负责采购和安装整套电梯物联网监控设备，该套设备须具备以下功能：</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（1）可远程实时监测电梯的运行状态，包括电梯运行速度、所在楼层、开关门状态等；该权限同时对甲、乙双方和电梯服务机构开放；</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（2）当电梯发生故障时，第一时间发出警示通知电梯服务人员。</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（3）可远程分析和核实电梯故障情况，方便维修人员对电梯维修做好准备。</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）记录电梯停梯时间，以确保安全检查时间足够。同时监测维修人员的维修效率。</w:t>
      </w:r>
      <w:r/>
    </w:p>
    <w:p>
      <w:pPr>
        <w:ind w:firstLine="480"/>
        <w:spacing w:line="460" w:lineRule="exact"/>
        <w:rPr>
          <w:rFonts w:hint="eastAsia" w:ascii="宋体" w:hAnsi="宋体" w:cs="宋体"/>
          <w:color w:val="auto"/>
          <w:sz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、提升电梯安全检查服务</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乙方机构根据《国务院第 549 号令》、《电梯制造与安装安全规范》(GB7588)《南通市电梯管理条例》等相关规定，确保电梯服务机构工作的质量和时效。</w:t>
      </w:r>
      <w:r/>
    </w:p>
    <w:p>
      <w:pPr>
        <w:ind w:firstLine="504"/>
        <w:spacing w:line="460" w:lineRule="exact"/>
        <w:rPr>
          <w:rFonts w:hint="eastAsia" w:ascii="宋体" w:hAnsi="宋体" w:cs="宋体"/>
          <w:color w:val="auto"/>
          <w:spacing w:val="6"/>
          <w:sz w:val="24"/>
          <w:highlight w:val="none"/>
        </w:rPr>
      </w:pPr>
      <w:r>
        <w:rPr>
          <w:rFonts w:ascii="宋体" w:hAnsi="宋体" w:cs="宋体"/>
          <w:color w:val="auto"/>
          <w:spacing w:val="6"/>
          <w:sz w:val="24"/>
          <w:szCs w:val="24"/>
          <w:highlight w:val="none"/>
        </w:rPr>
        <w:t xml:space="preserve">4</w:t>
      </w:r>
      <w:r>
        <w:rPr>
          <w:rFonts w:hint="eastAsia" w:ascii="宋体" w:hAnsi="宋体" w:cs="宋体"/>
          <w:color w:val="auto"/>
          <w:spacing w:val="6"/>
          <w:sz w:val="24"/>
          <w:szCs w:val="24"/>
          <w:highlight w:val="none"/>
        </w:rPr>
        <w:t xml:space="preserve">、提升电梯维修服务</w:t>
      </w:r>
      <w:r/>
    </w:p>
    <w:p>
      <w:pPr>
        <w:ind w:firstLine="504"/>
        <w:spacing w:line="460" w:lineRule="exact"/>
        <w:rPr>
          <w:rFonts w:hint="eastAsia" w:ascii="宋体" w:hAnsi="宋体" w:cs="宋体"/>
          <w:color w:val="auto"/>
          <w:spacing w:val="6"/>
          <w:sz w:val="24"/>
          <w:highlight w:val="none"/>
        </w:rPr>
      </w:pPr>
      <w:r>
        <w:rPr>
          <w:rFonts w:hint="eastAsia" w:ascii="宋体" w:hAnsi="宋体" w:cs="宋体"/>
          <w:color w:val="auto"/>
          <w:spacing w:val="6"/>
          <w:sz w:val="24"/>
          <w:szCs w:val="24"/>
          <w:highlight w:val="none"/>
        </w:rPr>
        <w:t xml:space="preserve">（1）针对服务期间发现零部件损坏的督促</w:t>
      </w:r>
      <w:r>
        <w:rPr>
          <w:rFonts w:hint="eastAsia" w:ascii="宋体" w:hAnsi="宋体" w:cs="宋体"/>
          <w:color w:val="auto"/>
          <w:sz w:val="24"/>
          <w:szCs w:val="24"/>
          <w:highlight w:val="none"/>
        </w:rPr>
        <w:t xml:space="preserve">电梯服务机构</w:t>
      </w:r>
      <w:r>
        <w:rPr>
          <w:rFonts w:hint="eastAsia" w:ascii="宋体" w:hAnsi="宋体" w:cs="宋体"/>
          <w:color w:val="auto"/>
          <w:spacing w:val="6"/>
          <w:sz w:val="24"/>
          <w:szCs w:val="24"/>
          <w:highlight w:val="none"/>
        </w:rPr>
        <w:t xml:space="preserve">进行维修更换；</w:t>
      </w:r>
      <w:r/>
    </w:p>
    <w:p>
      <w:pPr>
        <w:ind w:firstLine="504"/>
        <w:spacing w:line="460" w:lineRule="exact"/>
        <w:rPr>
          <w:rFonts w:hint="eastAsia" w:ascii="宋体" w:hAnsi="宋体" w:cs="宋体"/>
          <w:color w:val="auto"/>
          <w:spacing w:val="6"/>
          <w:sz w:val="24"/>
          <w:highlight w:val="none"/>
        </w:rPr>
      </w:pPr>
      <w:r>
        <w:rPr>
          <w:rFonts w:hint="eastAsia" w:ascii="宋体" w:hAnsi="宋体" w:cs="宋体"/>
          <w:color w:val="auto"/>
          <w:spacing w:val="6"/>
          <w:sz w:val="24"/>
          <w:szCs w:val="24"/>
          <w:highlight w:val="none"/>
        </w:rPr>
        <w:t xml:space="preserve">（2）针对突发性电梯故障造成零部件损坏的督促</w:t>
      </w:r>
      <w:r>
        <w:rPr>
          <w:rFonts w:hint="eastAsia" w:ascii="宋体" w:hAnsi="宋体" w:cs="宋体"/>
          <w:color w:val="auto"/>
          <w:sz w:val="24"/>
          <w:szCs w:val="24"/>
          <w:highlight w:val="none"/>
        </w:rPr>
        <w:t xml:space="preserve">电梯服务机构</w:t>
      </w:r>
      <w:r>
        <w:rPr>
          <w:rFonts w:hint="eastAsia" w:ascii="宋体" w:hAnsi="宋体" w:cs="宋体"/>
          <w:color w:val="auto"/>
          <w:spacing w:val="6"/>
          <w:sz w:val="24"/>
          <w:szCs w:val="24"/>
          <w:highlight w:val="none"/>
        </w:rPr>
        <w:t xml:space="preserve">进行维修更换；</w:t>
      </w:r>
      <w:r/>
    </w:p>
    <w:p>
      <w:pPr>
        <w:ind w:firstLine="504"/>
        <w:spacing w:line="460" w:lineRule="exact"/>
        <w:rPr>
          <w:rFonts w:hint="eastAsia" w:ascii="宋体" w:hAnsi="宋体" w:cs="宋体"/>
          <w:color w:val="auto"/>
          <w:spacing w:val="6"/>
          <w:sz w:val="24"/>
          <w:highlight w:val="none"/>
        </w:rPr>
      </w:pPr>
      <w:r>
        <w:rPr>
          <w:rFonts w:hint="eastAsia" w:ascii="宋体" w:hAnsi="宋体" w:cs="宋体"/>
          <w:color w:val="auto"/>
          <w:spacing w:val="6"/>
          <w:sz w:val="24"/>
          <w:szCs w:val="24"/>
          <w:highlight w:val="none"/>
        </w:rPr>
        <w:t xml:space="preserve">（3）对于电梯故障零部件的更换，乙方需严格审核，严禁使用残次或功能不匹配的电梯配件，保证电梯安全、平稳运行；</w:t>
      </w:r>
      <w:r/>
    </w:p>
    <w:p>
      <w:pPr>
        <w:ind w:firstLine="504"/>
        <w:spacing w:line="460" w:lineRule="exact"/>
        <w:rPr>
          <w:rFonts w:hint="eastAsia" w:ascii="宋体" w:hAnsi="宋体" w:cs="宋体"/>
          <w:color w:val="auto"/>
          <w:spacing w:val="6"/>
          <w:sz w:val="24"/>
          <w:highlight w:val="none"/>
        </w:rPr>
      </w:pPr>
      <w:r>
        <w:rPr>
          <w:rFonts w:hint="eastAsia" w:ascii="宋体" w:hAnsi="宋体" w:cs="宋体"/>
          <w:color w:val="auto"/>
          <w:spacing w:val="6"/>
          <w:sz w:val="24"/>
          <w:szCs w:val="24"/>
          <w:highlight w:val="none"/>
        </w:rPr>
        <w:t xml:space="preserve">（</w:t>
      </w:r>
      <w:r>
        <w:rPr>
          <w:rFonts w:ascii="宋体" w:hAnsi="宋体" w:cs="宋体"/>
          <w:color w:val="auto"/>
          <w:spacing w:val="6"/>
          <w:sz w:val="24"/>
          <w:szCs w:val="24"/>
          <w:highlight w:val="none"/>
        </w:rPr>
        <w:t xml:space="preserve">4</w:t>
      </w:r>
      <w:r>
        <w:rPr>
          <w:rFonts w:hint="eastAsia" w:ascii="宋体" w:hAnsi="宋体" w:cs="宋体"/>
          <w:color w:val="auto"/>
          <w:spacing w:val="6"/>
          <w:sz w:val="24"/>
          <w:szCs w:val="24"/>
          <w:highlight w:val="none"/>
        </w:rPr>
        <w:t xml:space="preserve">）严厉制止</w:t>
      </w:r>
      <w:r>
        <w:rPr>
          <w:rFonts w:hint="eastAsia" w:ascii="宋体" w:hAnsi="宋体" w:cs="宋体"/>
          <w:color w:val="auto"/>
          <w:sz w:val="24"/>
          <w:szCs w:val="24"/>
          <w:highlight w:val="none"/>
        </w:rPr>
        <w:t xml:space="preserve">电梯服务机构</w:t>
      </w:r>
      <w:r>
        <w:rPr>
          <w:rFonts w:hint="eastAsia" w:ascii="宋体" w:hAnsi="宋体" w:cs="宋体"/>
          <w:color w:val="auto"/>
          <w:spacing w:val="6"/>
          <w:sz w:val="24"/>
          <w:szCs w:val="24"/>
          <w:highlight w:val="none"/>
        </w:rPr>
        <w:t xml:space="preserve">拆除电梯安全部件或短接电梯安全、门锁回路后让电梯继续运行使用。</w:t>
      </w:r>
      <w:r/>
    </w:p>
    <w:p>
      <w:pPr>
        <w:ind w:firstLine="504"/>
        <w:spacing w:line="460" w:lineRule="exact"/>
        <w:rPr>
          <w:rFonts w:hint="eastAsia" w:ascii="宋体" w:hAnsi="宋体" w:cs="宋体"/>
          <w:color w:val="auto"/>
          <w:spacing w:val="6"/>
          <w:sz w:val="24"/>
          <w:highlight w:val="none"/>
        </w:rPr>
      </w:pPr>
      <w:r>
        <w:rPr>
          <w:rFonts w:hint="eastAsia" w:ascii="宋体" w:hAnsi="宋体" w:cs="宋体"/>
          <w:color w:val="auto"/>
          <w:spacing w:val="6"/>
          <w:sz w:val="24"/>
          <w:szCs w:val="24"/>
          <w:highlight w:val="none"/>
        </w:rPr>
        <w:t xml:space="preserve">服务方案包括但不限于有关电梯维修的时效保证、品质保证。</w:t>
      </w:r>
      <w:r/>
    </w:p>
    <w:p>
      <w:pPr>
        <w:ind w:firstLine="504"/>
        <w:spacing w:line="460" w:lineRule="exact"/>
        <w:rPr>
          <w:rFonts w:hint="eastAsia" w:ascii="宋体" w:hAnsi="宋体" w:cs="宋体"/>
          <w:color w:val="auto"/>
          <w:spacing w:val="6"/>
          <w:sz w:val="24"/>
          <w:highlight w:val="none"/>
        </w:rPr>
      </w:pPr>
      <w:r>
        <w:rPr>
          <w:rFonts w:ascii="宋体" w:hAnsi="宋体" w:cs="宋体"/>
          <w:color w:val="auto"/>
          <w:spacing w:val="6"/>
          <w:sz w:val="24"/>
          <w:szCs w:val="24"/>
          <w:highlight w:val="none"/>
        </w:rPr>
        <w:t xml:space="preserve">5</w:t>
      </w:r>
      <w:r>
        <w:rPr>
          <w:rFonts w:hint="eastAsia" w:ascii="宋体" w:hAnsi="宋体" w:cs="宋体"/>
          <w:color w:val="auto"/>
          <w:spacing w:val="6"/>
          <w:sz w:val="24"/>
          <w:szCs w:val="24"/>
          <w:highlight w:val="none"/>
        </w:rPr>
        <w:t xml:space="preserve">、安全宣传服务</w:t>
      </w:r>
      <w:r/>
    </w:p>
    <w:p>
      <w:pPr>
        <w:ind w:firstLine="504"/>
        <w:spacing w:line="460" w:lineRule="exact"/>
        <w:rPr>
          <w:rFonts w:hint="eastAsia" w:ascii="宋体" w:hAnsi="宋体" w:cs="宋体"/>
          <w:color w:val="auto"/>
          <w:spacing w:val="6"/>
          <w:sz w:val="24"/>
          <w:highlight w:val="none"/>
        </w:rPr>
      </w:pPr>
      <w:r>
        <w:rPr>
          <w:rFonts w:hint="eastAsia" w:ascii="宋体" w:hAnsi="宋体" w:cs="宋体"/>
          <w:color w:val="auto"/>
          <w:spacing w:val="6"/>
          <w:sz w:val="24"/>
          <w:szCs w:val="24"/>
          <w:highlight w:val="none"/>
        </w:rPr>
        <w:t xml:space="preserve">乙方可根据需要制定电梯安全知识宣传折页、宣传海报，在装设电梯的场所进行投放、张贴。向公众宣传电梯安全使用知识，并定期开展防灾安全救援演练，如甲方需要，组织甲方现场人员进行电梯安全培训，提升现场应对突发事件的能力。</w:t>
      </w:r>
      <w:r/>
    </w:p>
    <w:p>
      <w:p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三、保险期限</w:t>
      </w:r>
      <w:r/>
    </w:p>
    <w:p>
      <w:pPr>
        <w:ind w:firstLine="482"/>
        <w:spacing w:line="46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共</w:t>
      </w:r>
      <w:r>
        <w:rPr>
          <w:rFonts w:hint="eastAsia" w:ascii="宋体" w:hAnsi="宋体" w:cs="宋体"/>
          <w:b/>
          <w:bCs/>
          <w:color w:val="auto"/>
          <w:sz w:val="24"/>
          <w:szCs w:val="24"/>
          <w:highlight w:val="none"/>
          <w:u w:val="single"/>
          <w:lang w:val="en-US" w:eastAsia="zh-CN"/>
        </w:rPr>
        <w:t xml:space="preserve">12</w:t>
      </w:r>
      <w:r>
        <w:rPr>
          <w:rFonts w:hint="eastAsia" w:ascii="宋体" w:hAnsi="宋体" w:cs="宋体"/>
          <w:b/>
          <w:bCs/>
          <w:color w:val="auto"/>
          <w:sz w:val="24"/>
          <w:szCs w:val="24"/>
          <w:highlight w:val="none"/>
        </w:rPr>
        <w:t xml:space="preserve">个月，自</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年</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日 </w:t>
      </w:r>
      <w:r>
        <w:rPr>
          <w:rFonts w:hint="eastAsia"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起至</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年</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月</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日 </w:t>
      </w:r>
      <w:r>
        <w:rPr>
          <w:rFonts w:hint="eastAsia" w:ascii="宋体" w:hAnsi="宋体" w:cs="宋体"/>
          <w:b/>
          <w:bCs/>
          <w:color w:val="auto"/>
          <w:sz w:val="24"/>
          <w:szCs w:val="24"/>
          <w:highlight w:val="none"/>
          <w:u w:val="single"/>
        </w:rPr>
        <w:t xml:space="preserve">   时</w:t>
      </w:r>
      <w:r>
        <w:rPr>
          <w:rFonts w:hint="eastAsia" w:ascii="宋体" w:hAnsi="宋体" w:cs="宋体"/>
          <w:b/>
          <w:bCs/>
          <w:color w:val="auto"/>
          <w:sz w:val="24"/>
          <w:szCs w:val="24"/>
          <w:highlight w:val="none"/>
        </w:rPr>
        <w:t xml:space="preserve">止。</w:t>
      </w:r>
      <w:r/>
    </w:p>
    <w:p>
      <w:pPr>
        <w:ind w:firstLine="482"/>
        <w:spacing w:line="460" w:lineRule="exact"/>
        <w:rPr>
          <w:rFonts w:hint="eastAsia" w:ascii="宋体" w:hAnsi="宋体" w:cs="宋体"/>
          <w:b/>
          <w:bCs/>
          <w:color w:val="auto"/>
          <w:sz w:val="24"/>
          <w:highlight w:val="none"/>
          <w:lang w:eastAsia="zh-Hans"/>
        </w:rPr>
      </w:pP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合同签订之日起（在预算保障的前提下，对于购买内容相对固定、连续性强、经费来源稳定、价格变化幅度小的政府购买服务项目。）供应商经采购方</w:t>
      </w:r>
      <w:r>
        <w:rPr>
          <w:rFonts w:hint="eastAsia" w:ascii="宋体" w:hAnsi="宋体" w:cs="宋体"/>
          <w:color w:val="auto"/>
          <w:sz w:val="24"/>
          <w:szCs w:val="24"/>
          <w:highlight w:val="none"/>
          <w:lang w:val="en-US" w:eastAsia="zh-CN"/>
        </w:rPr>
        <w:t xml:space="preserve">经</w:t>
      </w:r>
      <w:r>
        <w:rPr>
          <w:rFonts w:hint="eastAsia" w:ascii="宋体" w:hAnsi="宋体" w:cs="宋体"/>
          <w:color w:val="auto"/>
          <w:sz w:val="24"/>
          <w:szCs w:val="24"/>
          <w:highlight w:val="none"/>
        </w:rPr>
        <w:t xml:space="preserve">考核结果优级（90分以上），采购方可以续签合同，</w:t>
      </w:r>
      <w:r>
        <w:rPr>
          <w:rFonts w:hint="eastAsia" w:ascii="宋体" w:hAnsi="宋体" w:cs="宋体"/>
          <w:color w:val="auto"/>
          <w:sz w:val="24"/>
          <w:szCs w:val="24"/>
          <w:highlight w:val="none"/>
          <w:lang w:val="en-US" w:eastAsia="zh-CN"/>
        </w:rPr>
        <w:t xml:space="preserve">合同</w:t>
      </w:r>
      <w:r>
        <w:rPr>
          <w:rFonts w:hint="eastAsia" w:ascii="宋体" w:hAnsi="宋体" w:cs="宋体"/>
          <w:color w:val="auto"/>
          <w:sz w:val="24"/>
          <w:szCs w:val="24"/>
          <w:highlight w:val="none"/>
        </w:rPr>
        <w:t xml:space="preserve">一年一签，续签不超过二年。</w:t>
      </w:r>
      <w:r/>
    </w:p>
    <w:p>
      <w:p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四、保费的金额与支付</w:t>
      </w:r>
      <w:r/>
    </w:p>
    <w:p>
      <w:pPr>
        <w:ind w:firstLine="480"/>
        <w:spacing w:line="460" w:lineRule="exact"/>
        <w:rPr>
          <w:rFonts w:hint="eastAsia" w:ascii="宋体" w:hAnsi="宋体" w:cs="宋体"/>
          <w:color w:val="auto"/>
          <w:sz w:val="24"/>
          <w:szCs w:val="24"/>
          <w:highlight w:val="none"/>
          <w:u w:val="none"/>
        </w:rPr>
      </w:pPr>
      <w:r>
        <w:rPr>
          <w:rFonts w:hint="eastAsia" w:ascii="宋体" w:hAnsi="宋体" w:cs="宋体"/>
          <w:color w:val="auto"/>
          <w:sz w:val="24"/>
          <w:szCs w:val="24"/>
          <w:highlight w:val="none"/>
        </w:rPr>
        <w:t xml:space="preserve">1.保费金额：</w:t>
      </w:r>
      <w:r>
        <w:rPr>
          <w:rFonts w:hint="eastAsia" w:ascii="宋体" w:hAnsi="宋体" w:cs="宋体"/>
          <w:b/>
          <w:bCs/>
          <w:color w:val="auto"/>
          <w:sz w:val="24"/>
          <w:szCs w:val="24"/>
          <w:highlight w:val="none"/>
          <w:u w:val="none"/>
        </w:rPr>
        <w:t xml:space="preserve">    </w:t>
      </w:r>
      <w:r>
        <w:rPr>
          <w:rFonts w:hint="eastAsia" w:ascii="宋体" w:hAnsi="宋体" w:cs="宋体"/>
          <w:b/>
          <w:color w:val="auto"/>
          <w:sz w:val="24"/>
          <w:szCs w:val="24"/>
          <w:highlight w:val="none"/>
          <w:u w:val="none"/>
        </w:rPr>
        <w:t xml:space="preserve">元/台/年</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    元/年（大写：  ）。</w:t>
      </w:r>
      <w:r/>
    </w:p>
    <w:tbl>
      <w:tblPr>
        <w:tblStyle w:val="879"/>
        <w:tblW w:w="9318" w:type="dxa"/>
        <w:tblInd w:w="-1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4"/>
        <w:gridCol w:w="3985"/>
        <w:gridCol w:w="2778"/>
        <w:gridCol w:w="1181"/>
      </w:tblGrid>
      <w:tr>
        <w:trPr>
          <w:trHeight w:val="1782"/>
        </w:trPr>
        <w:tc>
          <w:tcPr>
            <w:tcW w:w="1374"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服务项目</w:t>
            </w:r>
            <w:r/>
          </w:p>
        </w:tc>
        <w:tc>
          <w:tcPr>
            <w:tcW w:w="398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服务说明</w:t>
            </w:r>
            <w:r/>
          </w:p>
        </w:tc>
        <w:tc>
          <w:tcPr>
            <w:tcW w:w="277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数量(台）</w:t>
            </w:r>
            <w:r/>
          </w:p>
        </w:tc>
        <w:tc>
          <w:tcPr>
            <w:tcW w:w="1181" w:type="dxa"/>
            <w:vAlign w:val="center"/>
            <w:textDirection w:val="lrTb"/>
            <w:noWrap/>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综合单价报价（元/台/年）</w:t>
            </w:r>
            <w:r/>
          </w:p>
        </w:tc>
      </w:tr>
      <w:tr>
        <w:trPr>
          <w:trHeight w:val="2369"/>
        </w:trPr>
        <w:tc>
          <w:tcPr>
            <w:tcW w:w="1374" w:type="dxa"/>
            <w:vAlign w:val="center"/>
            <w:textDirection w:val="lrTb"/>
            <w:noWrap/>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highlight w:val="none"/>
              </w:rPr>
              <w:t xml:space="preserve">电梯维保费用损失补偿保险服务</w:t>
            </w:r>
            <w:r/>
          </w:p>
        </w:tc>
        <w:tc>
          <w:tcPr>
            <w:tcW w:w="3985"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被保险电梯在日常使用过程中产生的日常维护保养费用</w:t>
            </w:r>
            <w:r/>
          </w:p>
        </w:tc>
        <w:tc>
          <w:tcPr>
            <w:tcW w:w="277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w:t>
            </w:r>
            <w:r/>
          </w:p>
        </w:tc>
        <w:tc>
          <w:tcPr>
            <w:tcW w:w="118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544"/>
        </w:trPr>
        <w:tc>
          <w:tcPr>
            <w:tcW w:w="1374" w:type="dxa"/>
            <w:vAlign w:val="center"/>
            <w:textDirection w:val="lrTb"/>
            <w:noWrap/>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highlight w:val="none"/>
              </w:rPr>
              <w:t xml:space="preserve">电梯维修费用损失补偿保险服务</w:t>
            </w:r>
            <w:r/>
          </w:p>
        </w:tc>
        <w:tc>
          <w:tcPr>
            <w:tcW w:w="3985"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保险电梯在日常使用过程中因存在安全事故隐患，或发生故障无法正常运行需要对电梯的零配件进行维修或更换的，被保险人为保证其安全运行所实际支出的电梯零部件维修费用、重置费用、人工费用等必要且合理的费用，保险人按照本保险合同的约定负责赔偿。</w:t>
            </w:r>
            <w:r/>
          </w:p>
        </w:tc>
        <w:tc>
          <w:tcPr>
            <w:tcW w:w="277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w:t>
            </w:r>
            <w:r/>
          </w:p>
        </w:tc>
        <w:tc>
          <w:tcPr>
            <w:tcW w:w="118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205"/>
        </w:trPr>
        <w:tc>
          <w:tcPr>
            <w:tcW w:w="1374" w:type="dxa"/>
            <w:vAlign w:val="center"/>
            <w:textDirection w:val="lrTb"/>
            <w:noWrap/>
          </w:tcPr>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年检服务</w:t>
            </w:r>
            <w:r/>
          </w:p>
        </w:tc>
        <w:tc>
          <w:tcPr>
            <w:tcW w:w="3985"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按照安全技术规范要求在有效期届满前向相关机构提出定期检验的检验服务</w:t>
            </w:r>
            <w:r/>
          </w:p>
        </w:tc>
        <w:tc>
          <w:tcPr>
            <w:tcW w:w="277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w:t>
            </w:r>
            <w:r/>
          </w:p>
        </w:tc>
        <w:tc>
          <w:tcPr>
            <w:tcW w:w="118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gridSpan w:val="3"/>
            <w:tcW w:w="8137"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合计人民币（含税）：</w:t>
            </w:r>
            <w:r/>
          </w:p>
        </w:tc>
        <w:tc>
          <w:tcPr>
            <w:tcW w:w="118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每年保费金额以实际开通投保数量为准(具体清单以双方签字为准），保险期间内新增运行的电梯按月计收保费。</w:t>
      </w:r>
      <w:r/>
    </w:p>
    <w:p>
      <w:pPr>
        <w:numPr>
          <w:ilvl w:val="0"/>
          <w:numId w:val="6"/>
        </w:num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支付方式：签订合同后，甲方按照合同金额一次性支付给成交单位。（保费金额以单台电梯保费乘以实际投保数量为准）每次支付前，乙方均应出具相应金额的增值税专用发票，否则甲方有权拒付且不承担任何违约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维保费用：详见承包内容。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以上各项电梯维保费用，以甲方实际移交乙方日期为准。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在合同有效期限内，本项目新投入使用（第一条承包内容外）的电梯需维保的，根据本合同条款及单价签订相关补充协议。</w:t>
      </w:r>
      <w:r/>
    </w:p>
    <w:p>
      <w:pPr>
        <w:ind w:firstLine="480"/>
        <w:spacing w:line="460"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3.合同签订：合同与保单一年一出（双方签订合同的同时，甲方配合乙方出具项目保险合同，保险合同内容不得实质性违背本项目招投标文件及合同约定）。</w:t>
      </w:r>
      <w:r/>
    </w:p>
    <w:p>
      <w:pPr>
        <w:ind w:firstLine="480"/>
        <w:spacing w:line="460" w:lineRule="exact"/>
        <w:widowControl/>
        <w:rPr>
          <w:rFonts w:eastAsia="Times New Roman"/>
          <w:color w:val="auto"/>
          <w:sz w:val="24"/>
          <w:highlight w:val="none"/>
        </w:rPr>
      </w:pPr>
      <w:r>
        <w:rPr>
          <w:rFonts w:eastAsia="Times New Roman"/>
          <w:color w:val="auto"/>
          <w:sz w:val="24"/>
          <w:szCs w:val="24"/>
          <w:highlight w:val="none"/>
        </w:rPr>
        <w:t xml:space="preserve">4</w:t>
      </w:r>
      <w:r>
        <w:rPr>
          <w:rFonts w:hint="eastAsia" w:ascii="宋体" w:hAnsi="宋体" w:cs="宋体"/>
          <w:color w:val="auto"/>
          <w:sz w:val="24"/>
          <w:szCs w:val="24"/>
          <w:highlight w:val="none"/>
        </w:rPr>
        <w:t xml:space="preserve">.</w:t>
      </w:r>
      <w:r>
        <w:rPr>
          <w:rFonts w:eastAsia="Times New Roman"/>
          <w:color w:val="auto"/>
          <w:sz w:val="24"/>
          <w:szCs w:val="24"/>
          <w:highlight w:val="none"/>
        </w:rPr>
        <w:t xml:space="preserve">年度保费通过银行转账方式支付，乙方的账户信息如下:</w:t>
      </w:r>
      <w:r/>
    </w:p>
    <w:tbl>
      <w:tblPr>
        <w:tblStyle w:val="87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00"/>
      </w:tblGrid>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单位名称</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纳税人识别号</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开户银行</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银行账号</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单位地址</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电话号码</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bl>
    <w:p>
      <w:pPr>
        <w:ind w:firstLine="480"/>
        <w:spacing w:line="460" w:lineRule="exact"/>
        <w:widowControl/>
        <w:rPr>
          <w:rFonts w:eastAsia="Times New Roman"/>
          <w:color w:val="auto"/>
          <w:sz w:val="24"/>
          <w:highlight w:val="none"/>
        </w:rPr>
      </w:pPr>
      <w:r>
        <w:rPr>
          <w:rFonts w:eastAsia="Times New Roman"/>
          <w:color w:val="auto"/>
          <w:sz w:val="24"/>
          <w:szCs w:val="24"/>
          <w:highlight w:val="none"/>
        </w:rPr>
        <w:t xml:space="preserve">5.甲方的开票信息如下:</w:t>
      </w:r>
      <w:r/>
    </w:p>
    <w:tbl>
      <w:tblPr>
        <w:tblStyle w:val="87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600"/>
      </w:tblGrid>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单位名称</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纳税人识别号</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开户银行</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银行账号</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单位地址</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r>
        <w:trPr/>
        <w:tc>
          <w:tcPr>
            <w:tcW w:w="1696" w:type="dxa"/>
            <w:textDirection w:val="lrTb"/>
            <w:noWrap w:val="false"/>
          </w:tcPr>
          <w:p>
            <w:pPr>
              <w:jc w:val="center"/>
              <w:spacing w:line="460" w:lineRule="exact"/>
              <w:widowControl/>
              <w:rPr>
                <w:rFonts w:ascii="Calibri" w:hAnsi="Calibri" w:eastAsia="Times New Roman"/>
                <w:color w:val="auto"/>
                <w:sz w:val="24"/>
                <w:highlight w:val="none"/>
              </w:rPr>
            </w:pPr>
            <w:r>
              <w:rPr>
                <w:rFonts w:hint="eastAsia" w:ascii="Calibri" w:hAnsi="Calibri" w:eastAsia="Times New Roman"/>
                <w:color w:val="auto"/>
                <w:sz w:val="24"/>
                <w:szCs w:val="24"/>
                <w:highlight w:val="none"/>
              </w:rPr>
              <w:t xml:space="preserve">电话号码</w:t>
            </w:r>
            <w:r/>
          </w:p>
        </w:tc>
        <w:tc>
          <w:tcPr>
            <w:tcW w:w="6600" w:type="dxa"/>
            <w:textDirection w:val="lrTb"/>
            <w:noWrap w:val="false"/>
          </w:tcPr>
          <w:p>
            <w:pPr>
              <w:spacing w:line="460" w:lineRule="exact"/>
              <w:widowControl/>
              <w:rPr>
                <w:rFonts w:ascii="Calibri" w:hAnsi="Calibri" w:eastAsia="Times New Roman"/>
                <w:color w:val="auto"/>
                <w:sz w:val="24"/>
                <w:highlight w:val="none"/>
              </w:rPr>
            </w:pPr>
            <w:r>
              <w:rPr>
                <w:rFonts w:ascii="Calibri" w:hAnsi="Calibri" w:eastAsia="Times New Roman"/>
                <w:color w:val="auto"/>
                <w:sz w:val="24"/>
                <w:highlight w:val="none"/>
              </w:rPr>
            </w:r>
            <w:r/>
          </w:p>
        </w:tc>
      </w:tr>
    </w:tbl>
    <w:p>
      <w:pPr>
        <w:numPr>
          <w:ilvl w:val="0"/>
          <w:numId w:val="7"/>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投标报价包含日常电梯安全检查费用、维修费用。</w:t>
      </w:r>
      <w:r/>
    </w:p>
    <w:p>
      <w:pPr>
        <w:numPr>
          <w:ilvl w:val="0"/>
          <w:numId w:val="8"/>
        </w:num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履约保证金</w:t>
      </w:r>
      <w:r/>
    </w:p>
    <w:p>
      <w:pPr>
        <w:ind w:firstLine="480"/>
        <w:jc w:val="left"/>
        <w:spacing w:line="460" w:lineRule="exact"/>
        <w:rPr>
          <w:rFonts w:ascii="Calibri Light" w:hAnsi="Calibri Light"/>
          <w:color w:val="auto"/>
          <w:sz w:val="24"/>
          <w:highlight w:val="none"/>
        </w:rPr>
        <w:outlineLvl w:val="0"/>
      </w:pPr>
      <w:r>
        <w:rPr>
          <w:rFonts w:hint="eastAsia" w:ascii="Calibri Light" w:hAnsi="Calibri Light"/>
          <w:color w:val="auto"/>
          <w:sz w:val="24"/>
          <w:szCs w:val="24"/>
          <w:highlight w:val="none"/>
        </w:rPr>
        <w:t xml:space="preserve">1.</w:t>
      </w:r>
      <w:r>
        <w:rPr>
          <w:rFonts w:ascii="Calibri Light" w:hAnsi="Calibri Light"/>
          <w:color w:val="auto"/>
          <w:sz w:val="24"/>
          <w:szCs w:val="24"/>
          <w:highlight w:val="none"/>
        </w:rPr>
        <w:t xml:space="preserve">本项目履约保证金为</w:t>
      </w:r>
      <w:r>
        <w:rPr>
          <w:rFonts w:hint="eastAsia" w:ascii="Calibri Light" w:hAnsi="Calibri Light"/>
          <w:color w:val="auto"/>
          <w:sz w:val="24"/>
          <w:szCs w:val="24"/>
          <w:highlight w:val="none"/>
        </w:rPr>
        <w:t xml:space="preserve"> </w:t>
      </w:r>
      <w:r>
        <w:rPr>
          <w:rFonts w:hint="eastAsia" w:ascii="Calibri Light" w:hAnsi="Calibri Light"/>
          <w:color w:val="auto"/>
          <w:sz w:val="24"/>
          <w:szCs w:val="24"/>
          <w:highlight w:val="none"/>
          <w:u w:val="single"/>
        </w:rPr>
        <w:t xml:space="preserve">     </w:t>
      </w:r>
      <w:r>
        <w:rPr>
          <w:rFonts w:ascii="Calibri Light" w:hAnsi="Calibri Light"/>
          <w:color w:val="auto"/>
          <w:sz w:val="24"/>
          <w:szCs w:val="24"/>
          <w:highlight w:val="none"/>
        </w:rPr>
        <w:t xml:space="preserve">万元（以</w:t>
      </w:r>
      <w:r>
        <w:rPr>
          <w:rFonts w:ascii="Calibri Light" w:hAnsi="Calibri Light"/>
          <w:color w:val="auto"/>
          <w:sz w:val="24"/>
          <w:szCs w:val="24"/>
          <w:highlight w:val="none"/>
          <w:u w:val="single"/>
        </w:rPr>
        <w:t xml:space="preserve">   </w:t>
      </w:r>
      <w:r>
        <w:rPr>
          <w:rFonts w:hint="eastAsia" w:ascii="Calibri Light" w:hAnsi="Calibri Light"/>
          <w:color w:val="auto"/>
          <w:sz w:val="24"/>
          <w:szCs w:val="24"/>
          <w:highlight w:val="none"/>
          <w:u w:val="single"/>
        </w:rPr>
        <w:t xml:space="preserve"> </w:t>
      </w:r>
      <w:r>
        <w:rPr>
          <w:rFonts w:ascii="Calibri Light" w:hAnsi="Calibri Light"/>
          <w:color w:val="auto"/>
          <w:sz w:val="24"/>
          <w:szCs w:val="24"/>
          <w:highlight w:val="none"/>
          <w:u w:val="single"/>
        </w:rPr>
        <w:t xml:space="preserve">     </w:t>
      </w:r>
      <w:r>
        <w:rPr>
          <w:rFonts w:ascii="Calibri Light" w:hAnsi="Calibri Light"/>
          <w:color w:val="auto"/>
          <w:sz w:val="24"/>
          <w:szCs w:val="24"/>
          <w:highlight w:val="none"/>
        </w:rPr>
        <w:t xml:space="preserve">形式递交），在履约结束经甲方检查服务合格后无息返还。如达不到本合同约定的服务标准，履约保证金不予退还，同时必须在规定期限内整改到位。如经整改仍不符合约定的服务标准或未在规定期限内整改的，甲方还有权解除合同。</w:t>
      </w:r>
      <w:r/>
    </w:p>
    <w:p>
      <w:pPr>
        <w:ind w:firstLine="480"/>
        <w:jc w:val="left"/>
        <w:spacing w:line="460" w:lineRule="exact"/>
        <w:rPr>
          <w:rFonts w:ascii="Calibri Light" w:hAnsi="Calibri Light"/>
          <w:color w:val="auto"/>
          <w:sz w:val="24"/>
          <w:highlight w:val="none"/>
        </w:rPr>
        <w:outlineLvl w:val="0"/>
      </w:pPr>
      <w:r>
        <w:rPr>
          <w:rFonts w:hint="eastAsia" w:ascii="Calibri Light" w:hAnsi="Calibri Light"/>
          <w:color w:val="auto"/>
          <w:sz w:val="24"/>
          <w:szCs w:val="24"/>
          <w:highlight w:val="none"/>
        </w:rPr>
        <w:t xml:space="preserve">2.</w:t>
      </w:r>
      <w:r>
        <w:rPr>
          <w:rFonts w:ascii="Calibri Light" w:hAnsi="Calibri Light"/>
          <w:color w:val="auto"/>
          <w:sz w:val="24"/>
          <w:szCs w:val="24"/>
          <w:highlight w:val="none"/>
        </w:rPr>
        <w:t xml:space="preserve">如乙方未能履行合同规定的义务，甲方有权从履约保证金中取得补偿。</w:t>
      </w:r>
      <w:r/>
    </w:p>
    <w:p>
      <w:pPr>
        <w:ind w:firstLine="480"/>
        <w:jc w:val="left"/>
        <w:spacing w:line="460" w:lineRule="exact"/>
        <w:rPr>
          <w:rFonts w:ascii="Calibri Light" w:hAnsi="Calibri Light"/>
          <w:color w:val="auto"/>
          <w:sz w:val="24"/>
          <w:highlight w:val="none"/>
        </w:rPr>
        <w:outlineLvl w:val="0"/>
      </w:pPr>
      <w:r>
        <w:rPr>
          <w:rFonts w:hint="eastAsia" w:ascii="Calibri Light" w:hAnsi="Calibri Light"/>
          <w:color w:val="auto"/>
          <w:sz w:val="24"/>
          <w:szCs w:val="24"/>
          <w:highlight w:val="none"/>
        </w:rPr>
        <w:t xml:space="preserve">3.</w:t>
      </w:r>
      <w:r>
        <w:rPr>
          <w:rFonts w:ascii="Calibri Light" w:hAnsi="Calibri Light"/>
          <w:color w:val="auto"/>
          <w:sz w:val="24"/>
          <w:szCs w:val="24"/>
          <w:highlight w:val="none"/>
        </w:rPr>
        <w:t xml:space="preserve">履约保证金扣除甲方应得的补偿后的余额在服务期满后无息退还给乙方。</w:t>
      </w:r>
      <w:r/>
    </w:p>
    <w:p>
      <w:p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六、甲方的权利和义务</w:t>
      </w:r>
      <w:r/>
    </w:p>
    <w:p>
      <w:pPr>
        <w:numPr>
          <w:ilvl w:val="0"/>
          <w:numId w:val="9"/>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参与对乙方履约验收的权利，并对服务及理赔情况进行监督；</w:t>
      </w:r>
      <w:r/>
    </w:p>
    <w:p>
      <w:pPr>
        <w:numPr>
          <w:ilvl w:val="0"/>
          <w:numId w:val="9"/>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遵守采购的各项法律、法规和规章制度；</w:t>
      </w:r>
      <w:r/>
    </w:p>
    <w:p>
      <w:pPr>
        <w:numPr>
          <w:ilvl w:val="0"/>
          <w:numId w:val="9"/>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接受和配合采购监督管理部门的监督检查，同时还要接受和配合审计机关的审计监督以及监察机关的监察；</w:t>
      </w:r>
      <w:r/>
    </w:p>
    <w:p>
      <w:pPr>
        <w:numPr>
          <w:ilvl w:val="0"/>
          <w:numId w:val="9"/>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妥善保存反映每项采购活动的采购文件；</w:t>
      </w:r>
      <w:r/>
    </w:p>
    <w:p>
      <w:pPr>
        <w:numPr>
          <w:ilvl w:val="0"/>
          <w:numId w:val="9"/>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其他合法权利和义务。</w:t>
      </w:r>
      <w:r/>
    </w:p>
    <w:p>
      <w:p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七、乙方的权利和义务</w:t>
      </w:r>
      <w:r/>
    </w:p>
    <w:p>
      <w:pPr>
        <w:ind w:firstLine="240"/>
        <w:spacing w:line="460" w:lineRule="exact"/>
        <w:rPr>
          <w:rFonts w:hint="eastAsia" w:ascii="宋体" w:hAnsi="宋体" w:cs="宋体"/>
          <w:color w:val="auto"/>
          <w:sz w:val="24"/>
          <w:highlight w:val="none"/>
          <w:lang w:eastAsia="zh-Hans"/>
        </w:rPr>
      </w:pPr>
      <w:r>
        <w:rPr>
          <w:rFonts w:eastAsia="Times New Roman"/>
          <w:color w:val="auto"/>
          <w:sz w:val="24"/>
          <w:szCs w:val="24"/>
          <w:highlight w:val="none"/>
        </w:rPr>
        <w:t xml:space="preserve">   </w:t>
      </w:r>
      <w:r>
        <w:rPr>
          <w:rFonts w:ascii="宋体" w:hAnsi="宋体" w:cs="宋体"/>
          <w:color w:val="auto"/>
          <w:sz w:val="24"/>
          <w:szCs w:val="24"/>
          <w:highlight w:val="none"/>
          <w:lang w:eastAsia="zh-Hans"/>
        </w:rPr>
        <w:t xml:space="preserve">1</w:t>
      </w:r>
      <w:r>
        <w:rPr>
          <w:rFonts w:hint="eastAsia" w:ascii="宋体" w:hAnsi="宋体" w:cs="宋体"/>
          <w:color w:val="auto"/>
          <w:sz w:val="24"/>
          <w:szCs w:val="24"/>
          <w:highlight w:val="none"/>
          <w:lang w:eastAsia="zh-Hans"/>
        </w:rPr>
        <w:t xml:space="preserve">．乙方须组建专业电梯服务团队，为本项目进行专项服务，做好保险相关服务和解释工作。</w:t>
      </w:r>
      <w:r/>
    </w:p>
    <w:p>
      <w:pPr>
        <w:ind w:firstLine="24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lang w:eastAsia="zh-Hans"/>
        </w:rPr>
        <w:t xml:space="preserve"> </w:t>
      </w:r>
      <w:r>
        <w:rPr>
          <w:rFonts w:ascii="宋体" w:hAnsi="宋体" w:cs="宋体"/>
          <w:color w:val="auto"/>
          <w:sz w:val="24"/>
          <w:szCs w:val="24"/>
          <w:highlight w:val="none"/>
          <w:lang w:eastAsia="zh-Hans"/>
        </w:rPr>
        <w:t xml:space="preserve"> 2</w:t>
      </w:r>
      <w:r>
        <w:rPr>
          <w:rFonts w:hint="eastAsia" w:ascii="宋体" w:hAnsi="宋体" w:cs="宋体"/>
          <w:color w:val="auto"/>
          <w:sz w:val="24"/>
          <w:szCs w:val="24"/>
          <w:highlight w:val="none"/>
        </w:rPr>
        <w:t xml:space="preserve">．乙方须对甲方（若甲方需要）、电梯服务机构相关人员进行物联网监控设备培训。</w:t>
      </w:r>
      <w:r/>
    </w:p>
    <w:p>
      <w:pPr>
        <w:ind w:firstLine="240"/>
        <w:spacing w:line="460" w:lineRule="exact"/>
        <w:rPr>
          <w:rFonts w:hint="eastAsia" w:ascii="宋体" w:hAnsi="宋体" w:cs="宋体"/>
          <w:color w:val="auto"/>
          <w:sz w:val="24"/>
          <w:highlight w:val="none"/>
          <w:lang w:eastAsia="zh-Hans"/>
        </w:rPr>
      </w:pPr>
      <w:r>
        <w:rPr>
          <w:rFonts w:hint="eastAsia" w:ascii="宋体" w:hAnsi="宋体" w:cs="宋体"/>
          <w:color w:val="auto"/>
          <w:sz w:val="24"/>
          <w:szCs w:val="24"/>
          <w:highlight w:val="none"/>
          <w:lang w:eastAsia="zh-Hans"/>
        </w:rPr>
        <w:t xml:space="preserve"> </w:t>
      </w:r>
      <w:r>
        <w:rPr>
          <w:rFonts w:ascii="宋体" w:hAnsi="宋体" w:cs="宋体"/>
          <w:color w:val="auto"/>
          <w:sz w:val="24"/>
          <w:szCs w:val="24"/>
          <w:highlight w:val="none"/>
          <w:lang w:eastAsia="zh-Hans"/>
        </w:rPr>
        <w:t xml:space="preserve"> 3</w:t>
      </w:r>
      <w:r>
        <w:rPr>
          <w:rFonts w:hint="eastAsia" w:ascii="宋体" w:hAnsi="宋体" w:cs="宋体"/>
          <w:color w:val="auto"/>
          <w:sz w:val="24"/>
          <w:szCs w:val="24"/>
          <w:highlight w:val="none"/>
          <w:lang w:eastAsia="zh-Hans"/>
        </w:rPr>
        <w:t xml:space="preserve">．乙方为甲方搭建电梯风险管理平台，通过专业技术团队，对甲方电梯运行情况进行安全监控、数据分析、风险预警。</w:t>
      </w:r>
      <w:r/>
    </w:p>
    <w:p>
      <w:pPr>
        <w:ind w:firstLine="480"/>
        <w:spacing w:line="460" w:lineRule="exact"/>
        <w:rPr>
          <w:rFonts w:hint="eastAsia" w:ascii="宋体" w:hAnsi="宋体" w:cs="宋体"/>
          <w:color w:val="auto"/>
          <w:sz w:val="24"/>
          <w:highlight w:val="none"/>
        </w:rPr>
      </w:pPr>
      <w:r>
        <w:rPr>
          <w:rFonts w:ascii="宋体" w:hAnsi="宋体" w:cs="宋体"/>
          <w:color w:val="auto"/>
          <w:sz w:val="24"/>
          <w:szCs w:val="24"/>
          <w:highlight w:val="none"/>
          <w:lang w:eastAsia="zh-Hans"/>
        </w:rPr>
        <w:t xml:space="preserve">4</w:t>
      </w:r>
      <w:r>
        <w:rPr>
          <w:rFonts w:hint="eastAsia" w:ascii="宋体" w:hAnsi="宋体" w:cs="宋体"/>
          <w:color w:val="auto"/>
          <w:sz w:val="24"/>
          <w:szCs w:val="24"/>
          <w:highlight w:val="none"/>
        </w:rPr>
        <w:t xml:space="preserve">．乙方对电梯服务机构的服务工作进行监督。乙方通过专业电梯服务团队、物联网设备监督电梯服务机构对电梯的安全检查工作，通过安全检查评分表对服务工作进行评分，确保服务人员对每台电梯服务规范到位，防止电梯安全检查过程弄虚作假、偷工减料。</w:t>
      </w:r>
      <w:r/>
    </w:p>
    <w:p>
      <w:pPr>
        <w:ind w:firstLine="480"/>
        <w:spacing w:line="460" w:lineRule="exact"/>
        <w:rPr>
          <w:rFonts w:hint="eastAsia" w:ascii="宋体" w:hAnsi="宋体" w:cs="宋体"/>
          <w:color w:val="auto"/>
          <w:sz w:val="24"/>
          <w:highlight w:val="none"/>
          <w:lang w:eastAsia="zh-Hans"/>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．乙方对电梯服务机构维修工作进行监督。</w:t>
      </w:r>
      <w:r>
        <w:rPr>
          <w:rFonts w:hint="eastAsia" w:ascii="宋体" w:hAnsi="宋体" w:cs="宋体"/>
          <w:color w:val="auto"/>
          <w:sz w:val="24"/>
          <w:szCs w:val="24"/>
          <w:highlight w:val="none"/>
          <w:lang w:eastAsia="zh-Hans"/>
        </w:rPr>
        <w:t xml:space="preserve">在电梯发生故障需要维修时，按照保险合同约定，乙方应第一时间响应，督促电梯</w:t>
      </w:r>
      <w:r>
        <w:rPr>
          <w:rFonts w:hint="eastAsia" w:ascii="宋体" w:hAnsi="宋体" w:cs="宋体"/>
          <w:color w:val="auto"/>
          <w:sz w:val="24"/>
          <w:szCs w:val="24"/>
          <w:highlight w:val="none"/>
        </w:rPr>
        <w:t xml:space="preserve">电梯服务机构</w:t>
      </w:r>
      <w:r>
        <w:rPr>
          <w:rFonts w:hint="eastAsia" w:ascii="宋体" w:hAnsi="宋体" w:cs="宋体"/>
          <w:color w:val="auto"/>
          <w:sz w:val="24"/>
          <w:szCs w:val="24"/>
          <w:highlight w:val="none"/>
          <w:lang w:eastAsia="zh-Hans"/>
        </w:rPr>
        <w:t xml:space="preserve">及时对故障电梯进行维修。如电梯配件损坏需要更换时，乙方须对</w:t>
      </w:r>
      <w:r>
        <w:rPr>
          <w:rFonts w:hint="eastAsia" w:ascii="宋体" w:hAnsi="宋体" w:cs="宋体"/>
          <w:color w:val="auto"/>
          <w:sz w:val="24"/>
          <w:szCs w:val="24"/>
          <w:highlight w:val="none"/>
        </w:rPr>
        <w:t xml:space="preserve">电梯服务机构</w:t>
      </w:r>
      <w:r>
        <w:rPr>
          <w:rFonts w:hint="eastAsia" w:ascii="宋体" w:hAnsi="宋体" w:cs="宋体"/>
          <w:color w:val="auto"/>
          <w:sz w:val="24"/>
          <w:szCs w:val="24"/>
          <w:highlight w:val="none"/>
          <w:lang w:eastAsia="zh-Hans"/>
        </w:rPr>
        <w:t xml:space="preserve">提供的配件进行严格审核，严禁以次充好，确保配件合格合规，功能匹配。并及时赔付维修费用，保障电梯尽快恢复安全正常运行。</w:t>
      </w:r>
      <w:r/>
    </w:p>
    <w:p>
      <w:pPr>
        <w:ind w:firstLine="480"/>
        <w:spacing w:line="460" w:lineRule="exact"/>
        <w:rPr>
          <w:rFonts w:hint="eastAsia" w:ascii="宋体" w:hAnsi="宋体" w:cs="宋体"/>
          <w:color w:val="auto"/>
          <w:sz w:val="24"/>
          <w:highlight w:val="none"/>
        </w:rPr>
      </w:pPr>
      <w:r>
        <w:rPr>
          <w:rFonts w:ascii="宋体" w:hAnsi="宋体" w:cs="宋体"/>
          <w:color w:val="auto"/>
          <w:sz w:val="24"/>
          <w:szCs w:val="24"/>
          <w:highlight w:val="none"/>
          <w:lang w:eastAsia="zh-Hans"/>
        </w:rPr>
        <w:t xml:space="preserve">6</w:t>
      </w:r>
      <w:r>
        <w:rPr>
          <w:rFonts w:hint="eastAsia" w:ascii="宋体" w:hAnsi="宋体" w:cs="宋体"/>
          <w:color w:val="auto"/>
          <w:sz w:val="24"/>
          <w:szCs w:val="24"/>
          <w:highlight w:val="none"/>
          <w:lang w:eastAsia="zh-Hans"/>
        </w:rPr>
        <w:t xml:space="preserve">.乙方有义务提供</w:t>
      </w:r>
      <w:r>
        <w:rPr>
          <w:rFonts w:hint="eastAsia" w:ascii="宋体" w:hAnsi="宋体" w:cs="宋体"/>
          <w:color w:val="auto"/>
          <w:sz w:val="24"/>
          <w:szCs w:val="24"/>
          <w:highlight w:val="none"/>
        </w:rPr>
        <w:t xml:space="preserve">出险告知服务，对于电梯因故障需要维修的，承诺做好出险告知服务，同时定期对电梯承保后的维修、服务情况予以公示，以充分保障</w:t>
      </w:r>
      <w:r>
        <w:rPr>
          <w:rFonts w:hint="eastAsia" w:ascii="宋体" w:hAnsi="宋体" w:cs="宋体"/>
          <w:color w:val="auto"/>
          <w:sz w:val="24"/>
          <w:szCs w:val="24"/>
          <w:highlight w:val="none"/>
          <w:lang w:eastAsia="zh-Hans"/>
        </w:rPr>
        <w:t xml:space="preserve">甲方</w:t>
      </w:r>
      <w:r>
        <w:rPr>
          <w:rFonts w:hint="eastAsia" w:ascii="宋体" w:hAnsi="宋体" w:cs="宋体"/>
          <w:color w:val="auto"/>
          <w:sz w:val="24"/>
          <w:szCs w:val="24"/>
          <w:highlight w:val="none"/>
        </w:rPr>
        <w:t xml:space="preserve">知情权，方便</w:t>
      </w:r>
      <w:r>
        <w:rPr>
          <w:rFonts w:hint="eastAsia" w:ascii="宋体" w:hAnsi="宋体" w:cs="宋体"/>
          <w:color w:val="auto"/>
          <w:sz w:val="24"/>
          <w:szCs w:val="24"/>
          <w:highlight w:val="none"/>
          <w:lang w:eastAsia="zh-Hans"/>
        </w:rPr>
        <w:t xml:space="preserve">甲方</w:t>
      </w:r>
      <w:r>
        <w:rPr>
          <w:rFonts w:hint="eastAsia" w:ascii="宋体" w:hAnsi="宋体" w:cs="宋体"/>
          <w:color w:val="auto"/>
          <w:sz w:val="24"/>
          <w:szCs w:val="24"/>
          <w:highlight w:val="none"/>
        </w:rPr>
        <w:t xml:space="preserve">监督。</w:t>
      </w:r>
      <w:r/>
    </w:p>
    <w:p>
      <w:pPr>
        <w:ind w:firstLine="480"/>
        <w:spacing w:line="460" w:lineRule="exact"/>
        <w:rPr>
          <w:rFonts w:hint="eastAsia" w:ascii="宋体" w:hAnsi="宋体" w:cs="宋体"/>
          <w:color w:val="auto"/>
          <w:sz w:val="24"/>
          <w:highlight w:val="none"/>
          <w:lang w:eastAsia="zh-Hans"/>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lang w:eastAsia="zh-Hans"/>
        </w:rPr>
        <w:t xml:space="preserve">.</w:t>
      </w:r>
      <w:r>
        <w:rPr>
          <w:rFonts w:hint="eastAsia" w:ascii="宋体" w:hAnsi="宋体" w:cs="宋体"/>
          <w:color w:val="auto"/>
          <w:sz w:val="24"/>
          <w:szCs w:val="24"/>
          <w:highlight w:val="none"/>
        </w:rPr>
        <w:t xml:space="preserve">乙方应对被保险人信息予以严格保密。除了根据法律法规应予披露的情况以外，乙方未经甲方书面许可，不得向其他任何社会组织或个人泄露与被保险人有关的资料和信息，否则将依法承担一切责任。</w:t>
      </w:r>
      <w:r/>
    </w:p>
    <w:p>
      <w:pPr>
        <w:ind w:firstLine="480"/>
        <w:spacing w:line="460" w:lineRule="exact"/>
        <w:rPr>
          <w:rFonts w:hint="eastAsia" w:ascii="宋体" w:hAnsi="宋体" w:cs="宋体"/>
          <w:color w:val="auto"/>
          <w:sz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lang w:eastAsia="zh-Hans"/>
        </w:rPr>
        <w:t xml:space="preserve">.</w:t>
      </w:r>
      <w:r>
        <w:rPr>
          <w:rFonts w:hint="eastAsia" w:ascii="宋体" w:hAnsi="宋体" w:cs="宋体"/>
          <w:color w:val="auto"/>
          <w:sz w:val="24"/>
          <w:szCs w:val="24"/>
          <w:highlight w:val="none"/>
        </w:rPr>
        <w:t xml:space="preserve">乙方在合同履约过程中，不得有弄虚作假、徇私舞弊等行为发生，否则将按照有关法律法规依法追究法律责任。</w:t>
      </w:r>
      <w:r/>
    </w:p>
    <w:p>
      <w:pPr>
        <w:ind w:firstLine="480"/>
        <w:spacing w:line="460" w:lineRule="exact"/>
        <w:rPr>
          <w:rFonts w:hint="eastAsia" w:ascii="宋体" w:hAnsi="宋体" w:cs="宋体"/>
          <w:color w:val="auto"/>
          <w:sz w:val="24"/>
          <w:highlight w:val="none"/>
          <w:lang w:eastAsia="zh-Hans"/>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lang w:eastAsia="zh-Hans"/>
        </w:rPr>
        <w:t xml:space="preserve">.其他合法权利和义务。</w:t>
      </w:r>
      <w:r/>
    </w:p>
    <w:p>
      <w:p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八、损害赔偿</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szCs w:val="24"/>
          <w:highlight w:val="none"/>
        </w:rPr>
        <w:t xml:space="preserve">在服务期限内，任何一方故意或者过失给另一方或其员工、第三方造成人身或者财产损害的，则其应当赔偿另一方或其员工、第三方的损失。该等损失包括人身、财产损失及采取救济措施支付的合理费用（如诉讼费、仲裁费、差旅费、评估费、鉴定费、律师代理费等）。</w:t>
      </w:r>
      <w:r/>
    </w:p>
    <w:p>
      <w:p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九、保密</w:t>
      </w:r>
      <w:r/>
    </w:p>
    <w:p>
      <w:pPr>
        <w:numPr>
          <w:ilvl w:val="0"/>
          <w:numId w:val="10"/>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乙方必须采取措施对本项目实施过程中的技术资料保密，否则，由于乙方过错导致的上述资料泄密的，乙方必须承担一切责任。项目完成后，甲、乙双方均有责任对本项目的技术保密承担責任。</w:t>
      </w:r>
      <w:r/>
    </w:p>
    <w:p>
      <w:pPr>
        <w:numPr>
          <w:ilvl w:val="0"/>
          <w:numId w:val="10"/>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未经甲方事先书面同意，乙方不得将由甲方为本合同提供的技术资料提供给与本合同无关的任何第三方，不得将其用于履行本合同之外的其它用途。即使向与履行本合同有关的人员提供，也应注意保密并限于履行合同所必需的范围。</w:t>
      </w:r>
      <w:r/>
    </w:p>
    <w:p>
      <w:pPr>
        <w:numPr>
          <w:ilvl w:val="0"/>
          <w:numId w:val="10"/>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如果甲方有要求，乙方在完成合同后应将有关资料还给甲方。</w:t>
      </w:r>
      <w:r/>
    </w:p>
    <w:p>
      <w:pPr>
        <w:jc w:val="left"/>
        <w:spacing w:line="460" w:lineRule="exact"/>
        <w:rPr>
          <w:rFonts w:ascii="Calibri Light" w:hAnsi="Calibri Light"/>
          <w:b/>
          <w:bCs/>
          <w:color w:val="auto"/>
          <w:sz w:val="24"/>
          <w:highlight w:val="none"/>
        </w:rPr>
        <w:outlineLvl w:val="0"/>
      </w:pPr>
      <w:r>
        <w:rPr>
          <w:rFonts w:hint="eastAsia" w:ascii="宋体" w:hAnsi="宋体"/>
          <w:b/>
          <w:bCs/>
          <w:color w:val="auto"/>
          <w:sz w:val="24"/>
          <w:szCs w:val="24"/>
          <w:highlight w:val="none"/>
        </w:rPr>
        <w:t xml:space="preserve">十、消费者权益保</w:t>
      </w:r>
      <w:r>
        <w:rPr>
          <w:rFonts w:hint="eastAsia" w:ascii="Calibri Light" w:hAnsi="Calibri Light"/>
          <w:b/>
          <w:bCs/>
          <w:color w:val="auto"/>
          <w:sz w:val="24"/>
          <w:szCs w:val="24"/>
          <w:highlight w:val="none"/>
        </w:rPr>
        <w:t xml:space="preserve">护条款</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szCs w:val="24"/>
          <w:highlight w:val="none"/>
        </w:rPr>
        <w:t xml:space="preserve">1．甲乙双方应重视消费者权益保护工作，建立合作机构准入和退出机制。双方应确保本协议项下，各类业务的开展符合现行法律法规及监管规定中消费者权益保护相关要求，依法保护金融消费者各项合法权益。本条所指的法律法规及监管规定包括但不限于《中华人民共和国保险法》、《中华人民共和国消费者权益保护法》、《银行保险机构消费者权益保护管理办法》（银保监会令2022年第9号）等。</w:t>
      </w:r>
      <w:r/>
    </w:p>
    <w:p>
      <w:pPr>
        <w:ind w:firstLine="20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2.当出现消费投诉时，甲乙双方应紧密协作、积极应对，妥善对接和处理合作过程中发生的保险消费纠纷。甲乙双方应根据消费者投诉反映出的问题积极进行溯源改进，提高服务水平，避免出现侵害消费者权益的行为。如果一方在本业务合作过程中出现严重侵害消费者权益的行为并被监管机构通报，或者拒不配合处理本业务相关的消费投诉，另一方有权终止合作。</w:t>
      </w:r>
      <w:r/>
    </w:p>
    <w:p>
      <w:pPr>
        <w:jc w:val="left"/>
        <w:spacing w:line="460" w:lineRule="exact"/>
        <w:rPr>
          <w:rFonts w:hint="eastAsia" w:ascii="宋体" w:hAnsi="宋体"/>
          <w:b/>
          <w:bCs/>
          <w:color w:val="auto"/>
          <w:sz w:val="24"/>
          <w:highlight w:val="none"/>
        </w:rPr>
        <w:outlineLvl w:val="0"/>
      </w:pPr>
      <w:r>
        <w:rPr>
          <w:rFonts w:hint="eastAsia" w:ascii="宋体" w:hAnsi="宋体"/>
          <w:b/>
          <w:bCs/>
          <w:color w:val="auto"/>
          <w:sz w:val="24"/>
          <w:szCs w:val="24"/>
          <w:highlight w:val="none"/>
        </w:rPr>
        <w:t xml:space="preserve">十一、客户信息保护条款</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1.收集、使用及处理客户个人信息必须是依据法定义务或履行本协议所必要的行为，并在履行本协议必要范围内收集客户信息。未经客户授权同意，不得将客户个人信息公开披露，不得转移、出售给第三方。</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3.涉及客户敏感信息处理的，应具有特定的目的和充分的必要性，取得客户的单独同意，符合个人信息保护相关法律法规规定和管理要求。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4.乙方应对客户个人信息严格保密，采取技术措施和其他必要措施，确保客户信息安全。若乙方发生或者可能发生客户个人信息泄露、篡改、丢失的，应当立即采取补救措施，并同步通知甲方，减轻对客户及甲方的危害。</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r/>
    </w:p>
    <w:p>
      <w:p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十二、违约责任</w:t>
      </w:r>
      <w:r/>
    </w:p>
    <w:p>
      <w:pPr>
        <w:numPr>
          <w:ilvl w:val="0"/>
          <w:numId w:val="11"/>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合同一方不履行合同义务或者履行合同义务不符合约定的，应当承担继续履行、釆取补救措施或赔偿损失等违约责任。</w:t>
      </w:r>
      <w:r/>
    </w:p>
    <w:p>
      <w:pPr>
        <w:numPr>
          <w:ilvl w:val="0"/>
          <w:numId w:val="11"/>
        </w:num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如乙方不能按约定进行服务的，乙方违反约定的，甲方有权要求乙方按照合同总价1%的标准支付违约金。</w:t>
      </w:r>
      <w:r/>
    </w:p>
    <w:p>
      <w:p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十三、不可抗力</w:t>
      </w:r>
      <w:r/>
    </w:p>
    <w:p>
      <w:pPr>
        <w:ind w:firstLine="480"/>
        <w:spacing w:line="460" w:lineRule="exact"/>
        <w:rPr>
          <w:rFonts w:hint="eastAsia" w:ascii="宋体" w:hAnsi="宋体" w:cs="宋体"/>
          <w:color w:val="auto"/>
          <w:sz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.因不可抗力致使不能履行合同的(包括导致延期履行</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，根据不可抗力的影响，免除相应的责任，但在一方迟延履行期间发生不可抗力的除外。</w:t>
      </w:r>
      <w:r/>
    </w:p>
    <w:p>
      <w:pPr>
        <w:ind w:firstLine="480"/>
        <w:spacing w:line="460" w:lineRule="exact"/>
        <w:rPr>
          <w:rFonts w:hint="eastAsia" w:ascii="宋体" w:hAnsi="宋体" w:cs="宋体"/>
          <w:color w:val="auto"/>
          <w:sz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.本合同所称不可抗力指不可预见、不能避免并不能克服的客观情况，不可抗力包括战争、地震、动乱、空中飞行物体坠落或其他非合同双方责任造成的爆炸、火灾。</w:t>
      </w:r>
      <w:r/>
    </w:p>
    <w:p>
      <w:pPr>
        <w:ind w:firstLine="480"/>
        <w:spacing w:line="460" w:lineRule="exact"/>
        <w:rPr>
          <w:rFonts w:hint="eastAsia" w:ascii="宋体" w:hAnsi="宋体" w:cs="宋体"/>
          <w:color w:val="auto"/>
          <w:sz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.因发生不可抗力影响合同履行的，遭受不可抗力的一方须及时通知对方，并在不可抗力结束后合理期限内向对方提交发生不可抗力的充分有效的证明，否则，不能免除相应责任。</w:t>
      </w:r>
      <w:r/>
    </w:p>
    <w:p>
      <w:p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十四、合同修改</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对于本合同的未尽事宜，需进行修改、补充的，甲乙双方必须就所修改的内容签订书面的合同修改书，作为本合同的补充协议。补充协议与本合同具有同等法律效力。</w:t>
      </w:r>
      <w:r/>
    </w:p>
    <w:p>
      <w:pPr>
        <w:jc w:val="left"/>
        <w:spacing w:line="460" w:lineRule="exact"/>
        <w:rPr>
          <w:rFonts w:ascii="Calibri Light" w:hAnsi="Calibri Light"/>
          <w:b/>
          <w:bCs/>
          <w:color w:val="auto"/>
          <w:sz w:val="24"/>
          <w:highlight w:val="none"/>
        </w:rPr>
        <w:outlineLvl w:val="0"/>
      </w:pPr>
      <w:r>
        <w:rPr>
          <w:rFonts w:hint="eastAsia" w:ascii="Calibri Light" w:hAnsi="Calibri Light"/>
          <w:b/>
          <w:bCs/>
          <w:color w:val="auto"/>
          <w:sz w:val="24"/>
          <w:szCs w:val="24"/>
          <w:highlight w:val="none"/>
        </w:rPr>
        <w:t xml:space="preserve">十五、合同生效及其它</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Hans"/>
        </w:rPr>
        <w:t xml:space="preserve">.</w:t>
      </w:r>
      <w:r>
        <w:rPr>
          <w:rFonts w:hint="eastAsia" w:ascii="宋体" w:hAnsi="宋体" w:cs="宋体"/>
          <w:color w:val="auto"/>
          <w:sz w:val="24"/>
          <w:szCs w:val="24"/>
          <w:highlight w:val="none"/>
        </w:rPr>
        <w:t xml:space="preserve">甲乙双方代表签字并加盖公章(或合同章)后生效。</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Hans"/>
        </w:rPr>
        <w:t xml:space="preserve">.</w:t>
      </w:r>
      <w:r>
        <w:rPr>
          <w:rFonts w:hint="eastAsia" w:ascii="宋体" w:hAnsi="宋体" w:cs="宋体"/>
          <w:color w:val="auto"/>
          <w:sz w:val="24"/>
          <w:szCs w:val="24"/>
          <w:highlight w:val="none"/>
        </w:rPr>
        <w:t xml:space="preserve">合同签订后甲乙双方即直接产生权利与义务的关系，合同执行过程中出现的问题应按照《合同法》的规定办理，在合同履行过程中，双方如有争议，经协商无效，任何一方可向招标代理机构所在地人民法院提起诉讼。</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Hans"/>
        </w:rPr>
        <w:t xml:space="preserve">.</w:t>
      </w:r>
      <w:r>
        <w:rPr>
          <w:rFonts w:hint="eastAsia" w:ascii="宋体" w:hAnsi="宋体" w:cs="宋体"/>
          <w:color w:val="auto"/>
          <w:sz w:val="24"/>
          <w:szCs w:val="24"/>
          <w:highlight w:val="none"/>
        </w:rPr>
        <w:t xml:space="preserve">合同在执行过程中出现的未尽事宜，双方在不违背本合同和招标文件的原则下协商解决，协商结果以书面形式盖章记录在案，作为本合同的附件，与本合同具有同等效力，但需提交招标代理机构一份备存。</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Hans"/>
        </w:rPr>
        <w:t xml:space="preserve">.</w:t>
      </w:r>
      <w:r>
        <w:rPr>
          <w:rFonts w:hint="eastAsia" w:ascii="宋体" w:hAnsi="宋体" w:cs="宋体"/>
          <w:color w:val="auto"/>
          <w:sz w:val="24"/>
          <w:szCs w:val="24"/>
          <w:highlight w:val="none"/>
        </w:rPr>
        <w:t xml:space="preserve">本合同壹式</w:t>
      </w:r>
      <w:r>
        <w:rPr>
          <w:rFonts w:hint="eastAsia" w:ascii="宋体" w:hAnsi="宋体" w:cs="宋体"/>
          <w:color w:val="auto"/>
          <w:sz w:val="24"/>
          <w:szCs w:val="24"/>
          <w:highlight w:val="none"/>
          <w:lang w:val="en-US" w:eastAsia="zh-CN"/>
        </w:rPr>
        <w:t xml:space="preserve">肆</w:t>
      </w:r>
      <w:r>
        <w:rPr>
          <w:rFonts w:hint="eastAsia" w:ascii="宋体" w:hAnsi="宋体" w:cs="宋体"/>
          <w:color w:val="auto"/>
          <w:sz w:val="24"/>
          <w:szCs w:val="24"/>
          <w:highlight w:val="none"/>
        </w:rPr>
        <w:t xml:space="preserve">份，甲方执</w:t>
      </w:r>
      <w:r>
        <w:rPr>
          <w:rFonts w:hint="eastAsia" w:ascii="宋体" w:hAnsi="宋体" w:cs="宋体"/>
          <w:color w:val="auto"/>
          <w:sz w:val="24"/>
          <w:szCs w:val="24"/>
          <w:highlight w:val="none"/>
          <w:lang w:val="en-US" w:eastAsia="zh-CN"/>
        </w:rPr>
        <w:t xml:space="preserve">贰</w:t>
      </w:r>
      <w:r>
        <w:rPr>
          <w:rFonts w:hint="eastAsia" w:ascii="宋体" w:hAnsi="宋体" w:cs="宋体"/>
          <w:color w:val="auto"/>
          <w:sz w:val="24"/>
          <w:szCs w:val="24"/>
          <w:highlight w:val="none"/>
        </w:rPr>
        <w:t xml:space="preserve">份，乙方执</w:t>
      </w:r>
      <w:r>
        <w:rPr>
          <w:rFonts w:hint="eastAsia" w:ascii="宋体" w:hAnsi="宋体" w:cs="宋体"/>
          <w:color w:val="auto"/>
          <w:sz w:val="24"/>
          <w:szCs w:val="24"/>
          <w:highlight w:val="none"/>
          <w:lang w:val="en-US" w:eastAsia="zh-CN"/>
        </w:rPr>
        <w:t xml:space="preserve">贰</w:t>
      </w:r>
      <w:r>
        <w:rPr>
          <w:rFonts w:hint="eastAsia" w:ascii="宋体" w:hAnsi="宋体" w:cs="宋体"/>
          <w:color w:val="auto"/>
          <w:sz w:val="24"/>
          <w:szCs w:val="24"/>
          <w:highlight w:val="none"/>
        </w:rPr>
        <w:t xml:space="preserve">份。</w:t>
      </w:r>
      <w:r/>
    </w:p>
    <w:p>
      <w:pPr>
        <w:ind w:firstLine="480"/>
        <w:spacing w:line="460" w:lineRule="exact"/>
        <w:rPr>
          <w:color w:val="auto"/>
          <w:sz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Hans"/>
        </w:rPr>
        <w:t xml:space="preserve">.</w:t>
      </w:r>
      <w:r>
        <w:rPr>
          <w:rFonts w:hint="eastAsia" w:ascii="宋体" w:hAnsi="宋体" w:cs="宋体"/>
          <w:color w:val="auto"/>
          <w:sz w:val="24"/>
          <w:szCs w:val="24"/>
          <w:highlight w:val="none"/>
        </w:rPr>
        <w:t xml:space="preserve">如发生本合同继续履行将损害国家利益和社会公共利益，甲方有权变更、中止或者终止、解除合同；合同履行过程中出现危害国家利益和社会公共利益问题的，甲方有权立即终止合同。</w:t>
      </w:r>
      <w:r/>
    </w:p>
    <w:p>
      <w:pPr>
        <w:ind w:firstLine="464"/>
        <w:spacing w:line="460" w:lineRule="exact"/>
        <w:rPr>
          <w:rFonts w:hint="eastAsia" w:ascii="宋体" w:hAnsi="宋体" w:cs="宋体"/>
          <w:color w:val="auto"/>
          <w:spacing w:val="3"/>
          <w:sz w:val="24"/>
          <w:highlight w:val="none"/>
        </w:rPr>
      </w:pPr>
      <w:r>
        <w:rPr>
          <w:rFonts w:hint="eastAsia" w:ascii="宋体" w:hAnsi="宋体" w:cs="宋体"/>
          <w:color w:val="auto"/>
          <w:spacing w:val="-4"/>
          <w:sz w:val="24"/>
          <w:szCs w:val="24"/>
          <w:highlight w:val="none"/>
        </w:rPr>
        <w:t xml:space="preserve">甲方</w:t>
      </w:r>
      <w:r>
        <w:rPr>
          <w:rFonts w:hint="eastAsia" w:ascii="宋体" w:hAnsi="宋体" w:cs="宋体"/>
          <w:color w:val="auto"/>
          <w:spacing w:val="-3"/>
          <w:sz w:val="24"/>
          <w:szCs w:val="24"/>
          <w:highlight w:val="none"/>
        </w:rPr>
        <w:t xml:space="preserve">：                                </w:t>
      </w:r>
      <w:r>
        <w:rPr>
          <w:rFonts w:hint="eastAsia" w:ascii="宋体" w:hAnsi="宋体" w:cs="宋体"/>
          <w:color w:val="auto"/>
          <w:spacing w:val="-2"/>
          <w:sz w:val="24"/>
          <w:szCs w:val="24"/>
          <w:highlight w:val="none"/>
        </w:rPr>
        <w:t xml:space="preserve">乙方：                           </w:t>
      </w:r>
      <w:r/>
    </w:p>
    <w:p>
      <w:pPr>
        <w:ind w:firstLine="492"/>
        <w:spacing w:line="460" w:lineRule="exact"/>
        <w:rPr>
          <w:rFonts w:hint="eastAsia" w:ascii="宋体" w:hAnsi="宋体" w:cs="宋体"/>
          <w:color w:val="auto"/>
          <w:spacing w:val="-2"/>
          <w:sz w:val="24"/>
          <w:highlight w:val="none"/>
        </w:rPr>
      </w:pPr>
      <w:r>
        <w:rPr>
          <w:rFonts w:hint="eastAsia" w:ascii="宋体" w:hAnsi="宋体" w:cs="宋体"/>
          <w:color w:val="auto"/>
          <w:spacing w:val="3"/>
          <w:sz w:val="24"/>
          <w:szCs w:val="24"/>
          <w:highlight w:val="none"/>
        </w:rPr>
        <w:t xml:space="preserve">法定代表人或授权人(签名)：         法定代表人或授权人(签名)：</w:t>
      </w:r>
      <w:r/>
    </w:p>
    <w:p>
      <w:pPr>
        <w:ind w:firstLine="472"/>
        <w:spacing w:line="460" w:lineRule="exact"/>
        <w:rPr>
          <w:rFonts w:hint="eastAsia" w:ascii="宋体" w:hAnsi="宋体"/>
          <w:b/>
          <w:color w:val="auto"/>
          <w:sz w:val="36"/>
          <w:szCs w:val="36"/>
          <w:highlight w:val="none"/>
        </w:rPr>
      </w:pPr>
      <w:r>
        <w:rPr>
          <w:rFonts w:hint="eastAsia" w:ascii="宋体" w:hAnsi="宋体" w:cs="宋体"/>
          <w:color w:val="auto"/>
          <w:spacing w:val="-2"/>
          <w:sz w:val="24"/>
          <w:szCs w:val="24"/>
          <w:highlight w:val="none"/>
        </w:rPr>
        <w:t xml:space="preserve">时间：    年  月  日                 时间：   年  月  日</w:t>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r>
      <w:r/>
    </w:p>
    <w:p>
      <w:pPr>
        <w:jc w:val="left"/>
        <w:spacing w:line="360" w:lineRule="auto"/>
        <w:widowControl/>
        <w:rPr>
          <w:rFonts w:hint="eastAsia" w:ascii="宋体" w:hAnsi="宋体" w:cs="宋体"/>
          <w:b/>
          <w:bCs/>
          <w:color w:val="auto"/>
          <w:sz w:val="24"/>
          <w:szCs w:val="24"/>
          <w:highlight w:val="none"/>
        </w:rPr>
      </w:pPr>
      <w:r>
        <w:rPr>
          <w:rFonts w:hint="eastAsia"/>
          <w:b/>
          <w:bCs/>
          <w:color w:val="auto"/>
          <w:sz w:val="24"/>
          <w:szCs w:val="24"/>
          <w:highlight w:val="none"/>
        </w:rPr>
        <w:br w:type="column"/>
      </w:r>
      <w:r>
        <w:rPr>
          <w:rFonts w:hint="eastAsia"/>
          <w:b/>
          <w:bCs/>
          <w:color w:val="auto"/>
          <w:sz w:val="24"/>
          <w:szCs w:val="24"/>
          <w:highlight w:val="none"/>
        </w:rPr>
        <w:t xml:space="preserve">附件1-1：</w:t>
      </w:r>
      <w:r>
        <w:rPr>
          <w:rFonts w:hint="eastAsia" w:ascii="宋体" w:hAnsi="宋体" w:cs="宋体"/>
          <w:b/>
          <w:bCs/>
          <w:color w:val="auto"/>
          <w:sz w:val="24"/>
          <w:szCs w:val="24"/>
          <w:highlight w:val="none"/>
        </w:rPr>
        <w:t xml:space="preserve">电梯维保三方交接</w:t>
      </w:r>
      <w:r>
        <w:rPr>
          <w:rFonts w:ascii="宋体" w:hAnsi="宋体" w:cs="宋体"/>
          <w:b/>
          <w:bCs/>
          <w:color w:val="auto"/>
          <w:sz w:val="24"/>
          <w:szCs w:val="24"/>
          <w:highlight w:val="none"/>
        </w:rPr>
        <w:t xml:space="preserve">记录表</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电梯维保三方交接</w:t>
      </w:r>
      <w:r>
        <w:rPr>
          <w:rFonts w:ascii="宋体" w:hAnsi="宋体" w:cs="宋体"/>
          <w:b/>
          <w:bCs/>
          <w:color w:val="auto"/>
          <w:sz w:val="24"/>
          <w:szCs w:val="24"/>
          <w:highlight w:val="none"/>
        </w:rPr>
        <w:t xml:space="preserve">记录表</w:t>
      </w:r>
      <w:r/>
    </w:p>
    <w:tbl>
      <w:tblPr>
        <w:tblStyle w:val="879"/>
        <w:tblW w:w="95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13" w:type="dxa"/>
          <w:right w:w="108" w:type="dxa"/>
          <w:bottom w:w="0" w:type="dxa"/>
        </w:tblCellMar>
        <w:tblLook w:val="04A0" w:firstRow="1" w:lastRow="0" w:firstColumn="1" w:lastColumn="0" w:noHBand="0" w:noVBand="1"/>
      </w:tblPr>
      <w:tblGrid>
        <w:gridCol w:w="2440"/>
        <w:gridCol w:w="1023"/>
        <w:gridCol w:w="2083"/>
        <w:gridCol w:w="1077"/>
        <w:gridCol w:w="312"/>
        <w:gridCol w:w="2576"/>
      </w:tblGrid>
      <w:tr>
        <w:trPr>
          <w:trHeight w:val="268"/>
        </w:trPr>
        <w:tc>
          <w:tcPr>
            <w:tcW w:w="2440"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项目名称</w:t>
            </w:r>
            <w:r/>
          </w:p>
        </w:tc>
        <w:tc>
          <w:tcPr>
            <w:gridSpan w:val="2"/>
            <w:tcW w:w="310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2"/>
            <w:tcW w:w="1389"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交接时间</w:t>
            </w:r>
            <w:r/>
          </w:p>
        </w:tc>
        <w:tc>
          <w:tcPr>
            <w:tcW w:w="257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tcW w:w="2440"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原维保单位（移交方）</w:t>
            </w:r>
            <w:r/>
          </w:p>
        </w:tc>
        <w:tc>
          <w:tcPr>
            <w:gridSpan w:val="5"/>
            <w:tcW w:w="7071"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tcW w:w="2440"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现维保单位（接收方）</w:t>
            </w:r>
            <w:r/>
          </w:p>
        </w:tc>
        <w:tc>
          <w:tcPr>
            <w:gridSpan w:val="5"/>
            <w:tcW w:w="7071"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tcW w:w="2440"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电梯品牌</w:t>
            </w:r>
            <w:r/>
          </w:p>
        </w:tc>
        <w:tc>
          <w:tcPr>
            <w:gridSpan w:val="2"/>
            <w:tcW w:w="310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2"/>
            <w:tcW w:w="1389"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电梯数量</w:t>
            </w:r>
            <w:r/>
          </w:p>
        </w:tc>
        <w:tc>
          <w:tcPr>
            <w:tcW w:w="257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gridSpan w:val="3"/>
            <w:tcW w:w="554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查验问题清单</w:t>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备注</w:t>
            </w:r>
            <w:r/>
          </w:p>
        </w:tc>
      </w:tr>
      <w:tr>
        <w:trPr>
          <w:trHeight w:val="20"/>
        </w:trPr>
        <w:tc>
          <w:tcPr>
            <w:gridSpan w:val="3"/>
            <w:tcW w:w="554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gridSpan w:val="3"/>
            <w:tcW w:w="554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gridSpan w:val="3"/>
            <w:tcW w:w="554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gridSpan w:val="3"/>
            <w:tcW w:w="554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gridSpan w:val="3"/>
            <w:tcW w:w="554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gridSpan w:val="3"/>
            <w:tcW w:w="554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gridSpan w:val="3"/>
            <w:tcW w:w="554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90"/>
        </w:trPr>
        <w:tc>
          <w:tcPr>
            <w:gridSpan w:val="3"/>
            <w:tcW w:w="554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gridSpan w:val="3"/>
            <w:tcW w:w="5546"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20"/>
        </w:trPr>
        <w:tc>
          <w:tcPr>
            <w:gridSpan w:val="3"/>
            <w:tcW w:w="5546"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r>
            <w:r/>
          </w:p>
        </w:tc>
        <w:tc>
          <w:tcPr>
            <w:gridSpan w:val="3"/>
            <w:tcW w:w="396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r>
            <w:r/>
          </w:p>
        </w:tc>
      </w:tr>
      <w:tr>
        <w:trPr>
          <w:trHeight w:val="1929"/>
        </w:trPr>
        <w:tc>
          <w:tcPr>
            <w:gridSpan w:val="2"/>
            <w:tcW w:w="3463" w:type="dxa"/>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移交单位(盖章):</w:t>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日期:</w:t>
            </w:r>
            <w:r/>
          </w:p>
        </w:tc>
        <w:tc>
          <w:tcPr>
            <w:gridSpan w:val="2"/>
            <w:tcW w:w="3160"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接收单位(盖章):</w:t>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日期:</w:t>
            </w:r>
            <w:r/>
          </w:p>
        </w:tc>
        <w:tc>
          <w:tcPr>
            <w:gridSpan w:val="2"/>
            <w:tcW w:w="2888" w:type="dxa"/>
            <w:vAlign w:val="center"/>
            <w:textDirection w:val="lrTb"/>
            <w:noWrap w:val="false"/>
          </w:tcPr>
          <w:p>
            <w:pPr>
              <w:spacing w:line="360" w:lineRule="auto"/>
              <w:rPr>
                <w:rFonts w:hint="eastAsia" w:ascii="宋体" w:hAnsi="宋体"/>
                <w:color w:val="auto"/>
                <w:highlight w:val="none"/>
              </w:rPr>
            </w:pPr>
            <w:r>
              <w:rPr>
                <w:rFonts w:ascii="宋体" w:hAnsi="宋体"/>
                <w:color w:val="auto"/>
                <w:highlight w:val="none"/>
              </w:rPr>
              <w:t xml:space="preserve">物业公司</w:t>
            </w:r>
            <w:r>
              <w:rPr>
                <w:rFonts w:hint="eastAsia" w:ascii="宋体" w:hAnsi="宋体"/>
                <w:color w:val="auto"/>
                <w:highlight w:val="none"/>
              </w:rPr>
              <w:t xml:space="preserve">（盖章）：</w:t>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ascii="宋体" w:hAnsi="宋体"/>
                <w:color w:val="auto"/>
                <w:highlight w:val="none"/>
              </w:rPr>
              <w:t xml:space="preserve">日期</w:t>
            </w:r>
            <w:r>
              <w:rPr>
                <w:rFonts w:hint="eastAsia" w:ascii="宋体" w:hAnsi="宋体"/>
                <w:color w:val="auto"/>
                <w:highlight w:val="none"/>
              </w:rPr>
              <w:t xml:space="preserve">：</w:t>
            </w:r>
            <w:r/>
          </w:p>
        </w:tc>
      </w:tr>
    </w:tbl>
    <w:p>
      <w:pPr>
        <w:spacing w:line="360" w:lineRule="auto"/>
        <w:rPr>
          <w:rFonts w:hint="eastAsia" w:ascii="宋体" w:hAnsi="宋体"/>
          <w:b/>
          <w:color w:val="auto"/>
          <w:highlight w:val="none"/>
        </w:rPr>
      </w:pPr>
      <w:r>
        <w:rPr>
          <w:rFonts w:hint="eastAsia" w:ascii="宋体" w:hAnsi="宋体"/>
          <w:b/>
          <w:color w:val="auto"/>
          <w:highlight w:val="none"/>
        </w:rPr>
      </w:r>
      <w:r/>
    </w:p>
    <w:p>
      <w:pPr>
        <w:pStyle w:val="1157"/>
        <w:rPr>
          <w:color w:val="auto"/>
          <w:highlight w:val="none"/>
        </w:rPr>
      </w:pPr>
      <w:r>
        <w:rPr>
          <w:color w:val="auto"/>
          <w:highlight w:val="none"/>
        </w:rPr>
      </w:r>
      <w:r/>
    </w:p>
    <w:p>
      <w:pPr>
        <w:spacing w:line="360" w:lineRule="auto"/>
        <w:rPr>
          <w:b/>
          <w:bCs/>
          <w:color w:val="auto"/>
          <w:sz w:val="18"/>
          <w:szCs w:val="18"/>
          <w:highlight w:val="none"/>
        </w:rPr>
      </w:pPr>
      <w:r>
        <w:rPr>
          <w:b/>
          <w:bCs/>
          <w:color w:val="auto"/>
          <w:sz w:val="18"/>
          <w:szCs w:val="18"/>
          <w:highlight w:val="none"/>
        </w:rPr>
      </w:r>
      <w:r/>
    </w:p>
    <w:p>
      <w:pPr>
        <w:spacing w:line="360" w:lineRule="auto"/>
        <w:rPr>
          <w:b/>
          <w:bCs/>
          <w:color w:val="auto"/>
          <w:sz w:val="18"/>
          <w:szCs w:val="18"/>
          <w:highlight w:val="none"/>
        </w:rPr>
      </w:pPr>
      <w:r>
        <w:rPr>
          <w:b/>
          <w:bCs/>
          <w:color w:val="auto"/>
          <w:sz w:val="18"/>
          <w:szCs w:val="18"/>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pStyle w:val="1079"/>
        <w:rPr>
          <w:color w:val="auto"/>
          <w:highlight w:val="none"/>
        </w:rPr>
      </w:pPr>
      <w:r>
        <w:rPr>
          <w:color w:val="auto"/>
          <w:highlight w:val="none"/>
        </w:rPr>
      </w:r>
      <w:r/>
    </w:p>
    <w:p>
      <w:pPr>
        <w:spacing w:line="360" w:lineRule="auto"/>
        <w:rPr>
          <w:b/>
          <w:bCs/>
          <w:color w:val="auto"/>
          <w:sz w:val="24"/>
          <w:szCs w:val="24"/>
          <w:highlight w:val="none"/>
        </w:rPr>
      </w:pPr>
      <w:r>
        <w:rPr>
          <w:b/>
          <w:bCs/>
          <w:color w:val="auto"/>
          <w:sz w:val="24"/>
          <w:szCs w:val="24"/>
          <w:highlight w:val="none"/>
        </w:rPr>
      </w:r>
      <w:r/>
    </w:p>
    <w:p>
      <w:pPr>
        <w:spacing w:line="360" w:lineRule="auto"/>
        <w:rPr>
          <w:rFonts w:hint="eastAsia" w:ascii="宋体" w:hAnsi="宋体"/>
          <w:b/>
          <w:color w:val="auto"/>
          <w:sz w:val="24"/>
          <w:szCs w:val="24"/>
          <w:highlight w:val="none"/>
        </w:rPr>
      </w:pPr>
      <w:r>
        <w:rPr>
          <w:rFonts w:hint="eastAsia"/>
          <w:b/>
          <w:bCs/>
          <w:color w:val="auto"/>
          <w:sz w:val="24"/>
          <w:szCs w:val="24"/>
          <w:highlight w:val="none"/>
        </w:rPr>
        <w:t xml:space="preserve">附件1-2：</w:t>
      </w:r>
      <w:r>
        <w:rPr>
          <w:rFonts w:hint="eastAsia" w:ascii="宋体" w:hAnsi="宋体"/>
          <w:b/>
          <w:color w:val="auto"/>
          <w:sz w:val="24"/>
          <w:szCs w:val="24"/>
          <w:highlight w:val="none"/>
        </w:rPr>
        <w:t xml:space="preserve">电梯维保服务月度质量评价表</w:t>
      </w:r>
      <w:r/>
    </w:p>
    <w:p>
      <w:pPr>
        <w:spacing w:line="360" w:lineRule="auto"/>
        <w:rPr>
          <w:rFonts w:ascii="方正楷体简体" w:hAnsi="宋体" w:eastAsia="方正楷体简体"/>
          <w:b/>
          <w:color w:val="auto"/>
          <w:sz w:val="24"/>
          <w:szCs w:val="24"/>
          <w:highlight w:val="none"/>
        </w:rPr>
      </w:pPr>
      <w:r>
        <w:rPr>
          <w:rFonts w:hint="eastAsia"/>
          <w:b/>
          <w:bCs/>
          <w:color w:val="auto"/>
          <w:sz w:val="24"/>
          <w:szCs w:val="24"/>
          <w:highlight w:val="none"/>
        </w:rPr>
        <w:t xml:space="preserve">                             </w:t>
      </w:r>
      <w:r>
        <w:rPr>
          <w:rFonts w:hint="eastAsia" w:ascii="宋体" w:hAnsi="宋体"/>
          <w:b/>
          <w:color w:val="auto"/>
          <w:sz w:val="24"/>
          <w:szCs w:val="24"/>
          <w:highlight w:val="none"/>
        </w:rPr>
        <w:t xml:space="preserve">电梯维保服务月度质量评价表</w:t>
      </w:r>
      <w:r/>
    </w:p>
    <w:tbl>
      <w:tblPr>
        <w:tblStyle w:val="879"/>
        <w:tblW w:w="9511" w:type="dxa"/>
        <w:jc w:val="center"/>
        <w:tblLayout w:type="fixed"/>
        <w:tblCellMar>
          <w:left w:w="108" w:type="dxa"/>
          <w:top w:w="0" w:type="dxa"/>
          <w:right w:w="108" w:type="dxa"/>
          <w:bottom w:w="0" w:type="dxa"/>
        </w:tblCellMar>
        <w:tblLook w:val="04A0" w:firstRow="1" w:lastRow="0" w:firstColumn="1" w:lastColumn="0" w:noHBand="0" w:noVBand="1"/>
      </w:tblPr>
      <w:tblGrid>
        <w:gridCol w:w="574"/>
        <w:gridCol w:w="697"/>
        <w:gridCol w:w="5086"/>
        <w:gridCol w:w="717"/>
        <w:gridCol w:w="1033"/>
        <w:gridCol w:w="450"/>
        <w:gridCol w:w="393"/>
        <w:gridCol w:w="561"/>
      </w:tblGrid>
      <w:tr>
        <w:trPr>
          <w:cantSplit/>
          <w:jc w:val="center"/>
          <w:trHeight w:val="397"/>
        </w:trPr>
        <w:tc>
          <w:tcPr>
            <w:gridSpan w:val="3"/>
            <w:tcBorders>
              <w:top w:val="none" w:color="000000" w:sz="4" w:space="0"/>
              <w:left w:val="none" w:color="000000" w:sz="4" w:space="0"/>
              <w:bottom w:val="none" w:color="000000" w:sz="4" w:space="0"/>
              <w:right w:val="none" w:color="000000" w:sz="4" w:space="0"/>
            </w:tcBorders>
            <w:tcW w:w="6357"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项目名称：                              维保服务机构：</w:t>
            </w:r>
            <w:r/>
          </w:p>
        </w:tc>
        <w:tc>
          <w:tcPr>
            <w:gridSpan w:val="5"/>
            <w:tcBorders>
              <w:top w:val="none" w:color="000000" w:sz="4" w:space="0"/>
              <w:left w:val="none" w:color="000000" w:sz="4" w:space="0"/>
              <w:bottom w:val="none" w:color="000000" w:sz="4" w:space="0"/>
              <w:right w:val="none" w:color="000000" w:sz="4" w:space="0"/>
            </w:tcBorders>
            <w:tcW w:w="3154" w:type="dxa"/>
            <w:vAlign w:val="center"/>
            <w:textDirection w:val="lrTb"/>
            <w:noWrap w:val="false"/>
          </w:tcPr>
          <w:p>
            <w:pPr>
              <w:ind w:right="400" w:firstLine="147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年    月</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top w:val="single" w:color="000000" w:sz="4" w:space="0"/>
              <w:left w:val="none" w:color="000000" w:sz="4" w:space="0"/>
              <w:bottom w:val="single" w:color="000000" w:sz="4" w:space="0"/>
              <w:right w:val="single" w:color="000000" w:sz="4" w:space="0"/>
            </w:tcBorders>
            <w:tcW w:w="578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评定内容</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标准</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标准</w:t>
            </w:r>
            <w:r/>
          </w:p>
        </w:tc>
        <w:tc>
          <w:tcPr>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扣分值</w:t>
            </w:r>
            <w:r/>
          </w:p>
        </w:tc>
        <w:tc>
          <w:tcPr>
            <w:tcBorders>
              <w:top w:val="single" w:color="000000" w:sz="4" w:space="0"/>
              <w:left w:val="none" w:color="000000" w:sz="4" w:space="0"/>
              <w:bottom w:val="single" w:color="000000" w:sz="4" w:space="0"/>
              <w:right w:val="single" w:color="000000" w:sz="4" w:space="0"/>
            </w:tcBorders>
            <w:tcW w:w="393"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得分值</w:t>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p>
        </w:tc>
        <w:tc>
          <w:tcPr>
            <w:tcBorders>
              <w:top w:val="none" w:color="000000" w:sz="4" w:space="0"/>
              <w:left w:val="single" w:color="000000" w:sz="4" w:space="0"/>
              <w:bottom w:val="none" w:color="000000" w:sz="4" w:space="0"/>
              <w:right w:val="single" w:color="000000" w:sz="4" w:space="0"/>
            </w:tcBorders>
            <w:tcW w:w="697"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合同要求</w:t>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进入小区的维修保养人员未遵守物业规章制度的。</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维保人员操作证复印件未按合同要求交于物业存档。</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1分</w:t>
            </w:r>
            <w:r>
              <w:rPr>
                <w:rFonts w:ascii="宋体" w:hAnsi="宋体" w:cs="宋体"/>
                <w:color w:val="auto"/>
                <w:szCs w:val="21"/>
                <w:highlight w:val="none"/>
              </w:rPr>
              <w:t xml:space="preserve">/</w:t>
            </w:r>
            <w:r>
              <w:rPr>
                <w:rFonts w:hint="eastAsia" w:ascii="宋体" w:hAnsi="宋体" w:cs="宋体"/>
                <w:color w:val="auto"/>
                <w:szCs w:val="21"/>
                <w:highlight w:val="none"/>
              </w:rPr>
              <w:t xml:space="preserve">人</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3</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提供给物业的联系人电话未保持</w:t>
            </w:r>
            <w:r>
              <w:rPr>
                <w:rFonts w:ascii="宋体" w:hAnsi="宋体" w:cs="宋体"/>
                <w:color w:val="auto"/>
                <w:szCs w:val="21"/>
                <w:highlight w:val="none"/>
              </w:rPr>
              <w:t xml:space="preserve">24</w:t>
            </w:r>
            <w:r>
              <w:rPr>
                <w:rFonts w:hint="eastAsia" w:ascii="宋体" w:hAnsi="宋体" w:cs="宋体"/>
                <w:color w:val="auto"/>
                <w:szCs w:val="21"/>
                <w:highlight w:val="none"/>
              </w:rPr>
              <w:t xml:space="preserve">小时畅通</w:t>
            </w:r>
            <w:r>
              <w:rPr>
                <w:rFonts w:ascii="宋体" w:hAnsi="宋体" w:cs="宋体"/>
                <w:color w:val="auto"/>
                <w:szCs w:val="21"/>
                <w:highlight w:val="none"/>
              </w:rPr>
              <w:t xml:space="preserve">及未及时更新的</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4</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每月</w:t>
            </w:r>
            <w:r>
              <w:rPr>
                <w:rFonts w:ascii="宋体" w:hAnsi="宋体" w:cs="宋体"/>
                <w:color w:val="auto"/>
                <w:szCs w:val="21"/>
                <w:highlight w:val="none"/>
              </w:rPr>
              <w:t xml:space="preserve">2</w:t>
            </w:r>
            <w:r>
              <w:rPr>
                <w:rFonts w:hint="eastAsia" w:ascii="宋体" w:hAnsi="宋体" w:cs="宋体"/>
                <w:color w:val="auto"/>
                <w:szCs w:val="21"/>
                <w:highlight w:val="none"/>
              </w:rPr>
              <w:t xml:space="preserve">5日前未能提交下月工作计划，或提交计划不合格的。</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5</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未按工作计划完成计划保养内容，</w:t>
            </w:r>
            <w:r>
              <w:rPr>
                <w:rFonts w:ascii="宋体" w:hAnsi="宋体" w:cs="宋体"/>
                <w:color w:val="auto"/>
                <w:szCs w:val="21"/>
                <w:highlight w:val="none"/>
              </w:rPr>
              <w:t xml:space="preserve">且</w:t>
            </w:r>
            <w:r>
              <w:rPr>
                <w:rFonts w:hint="eastAsia" w:ascii="宋体" w:hAnsi="宋体" w:cs="宋体"/>
                <w:color w:val="auto"/>
                <w:szCs w:val="21"/>
                <w:highlight w:val="none"/>
              </w:rPr>
              <w:t xml:space="preserve">未提前书面</w:t>
            </w:r>
            <w:r>
              <w:rPr>
                <w:rFonts w:ascii="宋体" w:hAnsi="宋体" w:cs="宋体"/>
                <w:color w:val="auto"/>
                <w:szCs w:val="21"/>
                <w:highlight w:val="none"/>
              </w:rPr>
              <w:t xml:space="preserve">报备</w:t>
            </w:r>
            <w:r>
              <w:rPr>
                <w:rFonts w:hint="eastAsia" w:ascii="宋体" w:hAnsi="宋体" w:cs="宋体"/>
                <w:color w:val="auto"/>
                <w:szCs w:val="21"/>
                <w:highlight w:val="none"/>
              </w:rPr>
              <w:t xml:space="preserve">原因的。</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6</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合同期内因维保机构原因受到业主投诉(电话、APP、书面、前台)</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10</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7</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在维修保养过程中，有违反安全操作规程及存在安全隐患的。</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8</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保养人员数量与合同要求不符的</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2分</w:t>
            </w:r>
            <w:r>
              <w:rPr>
                <w:rFonts w:ascii="宋体" w:hAnsi="宋体" w:cs="宋体"/>
                <w:color w:val="auto"/>
                <w:szCs w:val="21"/>
                <w:highlight w:val="none"/>
              </w:rPr>
              <w:t xml:space="preserve">/</w:t>
            </w:r>
            <w:r>
              <w:rPr>
                <w:rFonts w:hint="eastAsia" w:ascii="宋体" w:hAnsi="宋体" w:cs="宋体"/>
                <w:color w:val="auto"/>
                <w:szCs w:val="21"/>
                <w:highlight w:val="none"/>
              </w:rPr>
              <w:t xml:space="preserve">人</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9</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驻场人员数量与合同要求不符</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2分</w:t>
            </w:r>
            <w:r>
              <w:rPr>
                <w:rFonts w:ascii="宋体" w:hAnsi="宋体" w:cs="宋体"/>
                <w:color w:val="auto"/>
                <w:szCs w:val="21"/>
                <w:highlight w:val="none"/>
              </w:rPr>
              <w:t xml:space="preserve">/</w:t>
            </w:r>
            <w:r>
              <w:rPr>
                <w:rFonts w:hint="eastAsia" w:ascii="宋体" w:hAnsi="宋体" w:cs="宋体"/>
                <w:color w:val="auto"/>
                <w:szCs w:val="21"/>
                <w:highlight w:val="none"/>
              </w:rPr>
              <w:t xml:space="preserve">人</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10</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每次维修保养工作完成后，未按规定填写及签署工作记录的。</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11</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维保机构未</w:t>
            </w:r>
            <w:r>
              <w:rPr>
                <w:rFonts w:ascii="宋体" w:hAnsi="宋体" w:cs="宋体"/>
                <w:color w:val="auto"/>
                <w:szCs w:val="21"/>
                <w:highlight w:val="none"/>
              </w:rPr>
              <w:t xml:space="preserve">按</w:t>
            </w:r>
            <w:r>
              <w:rPr>
                <w:rFonts w:hint="eastAsia" w:ascii="宋体" w:hAnsi="宋体" w:cs="宋体"/>
                <w:color w:val="auto"/>
                <w:szCs w:val="21"/>
                <w:highlight w:val="none"/>
              </w:rPr>
              <w:t xml:space="preserve">要求对物业员工进行电梯知识技能培训或无记录</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12</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在维修保养过程中，发现问题及隐患</w:t>
            </w:r>
            <w:r>
              <w:rPr>
                <w:rFonts w:ascii="宋体" w:hAnsi="宋体" w:cs="宋体"/>
                <w:color w:val="auto"/>
                <w:szCs w:val="21"/>
                <w:highlight w:val="none"/>
              </w:rPr>
              <w:t xml:space="preserve">未</w:t>
            </w:r>
            <w:r>
              <w:rPr>
                <w:rFonts w:hint="eastAsia" w:ascii="宋体" w:hAnsi="宋体" w:cs="宋体"/>
                <w:color w:val="auto"/>
                <w:szCs w:val="21"/>
                <w:highlight w:val="none"/>
              </w:rPr>
              <w:t xml:space="preserve">及时处理的。</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13</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节假日维保机构需确保至少一名值班人员,未按合同要求备案的</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14</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因维保机构提供材料及配件质量问题产生的安全责任事故及损失</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10</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15</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维保机构保养人员进入机房、轿顶或井道作业完毕后,未锁好门栓</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16</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重要配件未按照合同要求</w:t>
            </w:r>
            <w:r>
              <w:rPr>
                <w:rFonts w:ascii="宋体" w:hAnsi="宋体" w:cs="宋体"/>
                <w:color w:val="auto"/>
                <w:szCs w:val="21"/>
                <w:highlight w:val="none"/>
              </w:rPr>
              <w:t xml:space="preserve">调配</w:t>
            </w:r>
            <w:r>
              <w:rPr>
                <w:rFonts w:hint="eastAsia" w:ascii="宋体" w:hAnsi="宋体" w:cs="宋体"/>
                <w:color w:val="auto"/>
                <w:szCs w:val="21"/>
                <w:highlight w:val="none"/>
              </w:rPr>
              <w:t xml:space="preserve">到货。</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17</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维保机构未按合同要求办理电梯的安全年检手续，影响物业电梯正常使用及对物业造成负面影响的</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10</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506"/>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18</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维保机构未配合完善电梯轿厢的标识，如电梯检验合格证、电梯安全使用守则、防夹手标识、电梯公司应急电话等。</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1分</w:t>
            </w:r>
            <w:r>
              <w:rPr>
                <w:rFonts w:ascii="宋体" w:hAnsi="宋体" w:cs="宋体"/>
                <w:color w:val="auto"/>
                <w:szCs w:val="21"/>
                <w:highlight w:val="none"/>
              </w:rPr>
              <w:t xml:space="preserve">/</w:t>
            </w:r>
            <w:r>
              <w:rPr>
                <w:rFonts w:hint="eastAsia" w:ascii="宋体" w:hAnsi="宋体" w:cs="宋体"/>
                <w:color w:val="auto"/>
                <w:szCs w:val="21"/>
                <w:highlight w:val="none"/>
              </w:rPr>
              <w:t xml:space="preserve">次</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w:t>
            </w:r>
            <w:r/>
          </w:p>
        </w:tc>
        <w:tc>
          <w:tcPr>
            <w:tcBorders>
              <w:top w:val="non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维保期间的损坏配件未及时免费更换。</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2分/次</w:t>
            </w:r>
            <w:r/>
          </w:p>
        </w:tc>
        <w:tc>
          <w:tcPr>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none" w:color="000000" w:sz="4" w:space="0"/>
              <w:right w:val="single" w:color="000000" w:sz="4" w:space="0"/>
            </w:tcBorders>
            <w:tcW w:w="697" w:type="dxa"/>
            <w:vAlign w:val="center"/>
            <w:vMerge w:val="restart"/>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电梯维修保养质量评定</w:t>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机房设备卫生不达标</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1</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五方对讲不通</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2</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油杯缺油（油杯油量应在</w:t>
            </w:r>
            <w:r>
              <w:rPr>
                <w:rFonts w:ascii="宋体" w:hAnsi="宋体" w:cs="宋体"/>
                <w:color w:val="auto"/>
                <w:szCs w:val="21"/>
                <w:highlight w:val="none"/>
              </w:rPr>
              <w:t xml:space="preserve">1/3-2/3之间）</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3</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运行有明显异响</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4</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机房运动部件防护罩未安装</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5</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平层标识缺失，救援工具或标识脱落缺失</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6</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轿顶环境卫生不达标</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7</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轿顶照明缺失或失效</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8</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平层精度大于</w:t>
            </w:r>
            <w:r>
              <w:rPr>
                <w:rFonts w:ascii="宋体" w:hAnsi="宋体" w:cs="宋体"/>
                <w:color w:val="auto"/>
                <w:szCs w:val="21"/>
                <w:highlight w:val="none"/>
              </w:rPr>
              <w:t xml:space="preserve">10mm</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9</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井道照明一半以上不亮，或底坑照明不亮</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底坑环境卫生不达标</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1</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底坑补偿链（绳）离地小于</w:t>
            </w:r>
            <w:r>
              <w:rPr>
                <w:rFonts w:ascii="宋体" w:hAnsi="宋体" w:cs="宋体"/>
                <w:color w:val="auto"/>
                <w:szCs w:val="21"/>
                <w:highlight w:val="none"/>
              </w:rPr>
              <w:t xml:space="preserve">10公分，或两条明显高度不一致</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2</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张紧轮开关与撞杆较近，急停开关松动，未固定牢固</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non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3</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轿内按钮或面板松动，外呼板松动，未固定牢固</w:t>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none" w:color="000000" w:sz="4" w:space="0"/>
              <w:left w:val="non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4</w:t>
            </w:r>
            <w:r/>
          </w:p>
        </w:tc>
        <w:tc>
          <w:tcPr>
            <w:tcBorders>
              <w:top w:val="none" w:color="000000" w:sz="4" w:space="0"/>
              <w:left w:val="single" w:color="000000" w:sz="4" w:space="0"/>
              <w:bottom w:val="none" w:color="000000" w:sz="4" w:space="0"/>
              <w:right w:val="single" w:color="000000" w:sz="4" w:space="0"/>
            </w:tcBorders>
            <w:tcW w:w="697" w:type="dxa"/>
            <w:vAlign w:val="center"/>
            <w:vMerge w:val="continue"/>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轿厢风扇出风口砂石较多</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分</w:t>
            </w:r>
            <w:r>
              <w:rPr>
                <w:rFonts w:ascii="宋体" w:hAnsi="宋体" w:cs="宋体"/>
                <w:color w:val="auto"/>
                <w:szCs w:val="21"/>
                <w:highlight w:val="none"/>
              </w:rPr>
              <w:t xml:space="preserve">/</w:t>
            </w:r>
            <w:r>
              <w:rPr>
                <w:rFonts w:hint="eastAsia" w:ascii="宋体" w:hAnsi="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r>
        <w:trPr>
          <w:cantSplit/>
          <w:jc w:val="center"/>
          <w:trHeight w:val="397"/>
        </w:trPr>
        <w:tc>
          <w:tcPr>
            <w:gridSpan w:val="3"/>
            <w:tcBorders>
              <w:top w:val="single" w:color="000000" w:sz="4" w:space="0"/>
              <w:left w:val="single" w:color="000000" w:sz="4" w:space="0"/>
              <w:bottom w:val="single" w:color="000000" w:sz="4" w:space="0"/>
              <w:right w:val="single" w:color="000000" w:sz="4" w:space="0"/>
            </w:tcBorders>
            <w:tcW w:w="635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ascii="宋体" w:hAnsi="宋体" w:cs="宋体"/>
                <w:color w:val="auto"/>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450"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393"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甲方确认：                         乙方确认：                       </w:t>
      </w:r>
      <w:r/>
    </w:p>
    <w:p>
      <w:pPr>
        <w:spacing w:line="360" w:lineRule="auto"/>
        <w:rPr>
          <w:rFonts w:hint="eastAsia"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日期： </w:t>
      </w:r>
      <w:r>
        <w:rPr>
          <w:rFonts w:ascii="宋体" w:hAnsi="宋体"/>
          <w:color w:val="auto"/>
          <w:szCs w:val="21"/>
          <w:highlight w:val="none"/>
        </w:rPr>
        <w:t xml:space="preserve">                  </w:t>
      </w:r>
      <w:r/>
    </w:p>
    <w:p>
      <w:pPr>
        <w:jc w:val="left"/>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注：评分达到90分（含90分）以上的不另扣该项目当月维修保养费，考核评分低于90分相应扣减该项目当月保养费的5%，低于85分相应扣减该项目当月保养费的10%，如此类推；连续二个月考核评分低于50分的甲方有权终止合同。</w:t>
      </w:r>
      <w:r/>
    </w:p>
    <w:p>
      <w:pPr>
        <w:jc w:val="left"/>
        <w:spacing w:line="360" w:lineRule="auto"/>
        <w:tabs>
          <w:tab w:val="left" w:pos="1980" w:leader="none"/>
        </w:tabs>
        <w:rPr>
          <w:b/>
          <w:bCs/>
          <w:color w:val="auto"/>
          <w:sz w:val="18"/>
          <w:szCs w:val="18"/>
          <w:highlight w:val="none"/>
        </w:rPr>
      </w:pPr>
      <w:r>
        <w:rPr>
          <w:b/>
          <w:bCs/>
          <w:color w:val="auto"/>
          <w:sz w:val="18"/>
          <w:szCs w:val="18"/>
          <w:highlight w:val="none"/>
        </w:rPr>
      </w:r>
      <w:r/>
    </w:p>
    <w:p>
      <w:pPr>
        <w:jc w:val="left"/>
        <w:spacing w:line="360" w:lineRule="auto"/>
        <w:tabs>
          <w:tab w:val="left" w:pos="1980" w:leader="none"/>
        </w:tabs>
        <w:rPr>
          <w:b/>
          <w:bCs/>
          <w:color w:val="auto"/>
          <w:sz w:val="18"/>
          <w:szCs w:val="18"/>
          <w:highlight w:val="none"/>
        </w:rPr>
      </w:pPr>
      <w:r>
        <w:rPr>
          <w:b/>
          <w:bCs/>
          <w:color w:val="auto"/>
          <w:sz w:val="18"/>
          <w:szCs w:val="18"/>
          <w:highlight w:val="none"/>
        </w:rPr>
      </w:r>
      <w:r/>
    </w:p>
    <w:p>
      <w:pPr>
        <w:jc w:val="left"/>
        <w:spacing w:line="360" w:lineRule="auto"/>
        <w:tabs>
          <w:tab w:val="left" w:pos="1980" w:leader="none"/>
        </w:tabs>
        <w:rPr>
          <w:b/>
          <w:bCs/>
          <w:color w:val="auto"/>
          <w:sz w:val="18"/>
          <w:szCs w:val="18"/>
          <w:highlight w:val="none"/>
        </w:rPr>
      </w:pPr>
      <w:r>
        <w:rPr>
          <w:b/>
          <w:bCs/>
          <w:color w:val="auto"/>
          <w:sz w:val="18"/>
          <w:szCs w:val="18"/>
          <w:highlight w:val="none"/>
        </w:rPr>
      </w:r>
      <w:r/>
    </w:p>
    <w:p>
      <w:pPr>
        <w:jc w:val="left"/>
        <w:spacing w:line="360" w:lineRule="auto"/>
        <w:tabs>
          <w:tab w:val="left" w:pos="1980" w:leader="none"/>
        </w:tabs>
        <w:rPr>
          <w:b/>
          <w:bCs/>
          <w:color w:val="auto"/>
          <w:sz w:val="18"/>
          <w:szCs w:val="18"/>
          <w:highlight w:val="none"/>
        </w:rPr>
      </w:pPr>
      <w:r>
        <w:rPr>
          <w:b/>
          <w:bCs/>
          <w:color w:val="auto"/>
          <w:sz w:val="18"/>
          <w:szCs w:val="18"/>
          <w:highlight w:val="none"/>
        </w:rPr>
      </w:r>
      <w:r/>
    </w:p>
    <w:p>
      <w:pPr>
        <w:jc w:val="left"/>
        <w:spacing w:line="360" w:lineRule="auto"/>
        <w:tabs>
          <w:tab w:val="left" w:pos="1980" w:leader="none"/>
        </w:tabs>
        <w:rPr>
          <w:b/>
          <w:bCs/>
          <w:color w:val="auto"/>
          <w:sz w:val="18"/>
          <w:szCs w:val="18"/>
          <w:highlight w:val="none"/>
        </w:rPr>
      </w:pPr>
      <w:r>
        <w:rPr>
          <w:b/>
          <w:bCs/>
          <w:color w:val="auto"/>
          <w:sz w:val="18"/>
          <w:szCs w:val="18"/>
          <w:highlight w:val="none"/>
        </w:rPr>
      </w:r>
      <w:r/>
    </w:p>
    <w:p>
      <w:pPr>
        <w:jc w:val="left"/>
        <w:spacing w:line="360" w:lineRule="auto"/>
        <w:tabs>
          <w:tab w:val="left" w:pos="1980" w:leader="none"/>
        </w:tabs>
        <w:rPr>
          <w:b/>
          <w:bCs/>
          <w:color w:val="auto"/>
          <w:sz w:val="18"/>
          <w:szCs w:val="18"/>
          <w:highlight w:val="none"/>
        </w:rPr>
      </w:pPr>
      <w:r>
        <w:rPr>
          <w:b/>
          <w:bCs/>
          <w:color w:val="auto"/>
          <w:sz w:val="18"/>
          <w:szCs w:val="18"/>
          <w:highlight w:val="none"/>
        </w:rPr>
      </w:r>
      <w:r/>
    </w:p>
    <w:p>
      <w:pPr>
        <w:jc w:val="left"/>
        <w:spacing w:line="360" w:lineRule="auto"/>
        <w:tabs>
          <w:tab w:val="left" w:pos="1980" w:leader="none"/>
        </w:tabs>
        <w:rPr>
          <w:b/>
          <w:bCs/>
          <w:color w:val="auto"/>
          <w:sz w:val="18"/>
          <w:szCs w:val="18"/>
          <w:highlight w:val="none"/>
        </w:rPr>
      </w:pPr>
      <w:r>
        <w:rPr>
          <w:b/>
          <w:bCs/>
          <w:color w:val="auto"/>
          <w:sz w:val="18"/>
          <w:szCs w:val="18"/>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tabs>
          <w:tab w:val="left" w:pos="1980" w:leader="none"/>
        </w:tabs>
        <w:rPr>
          <w:rFonts w:hint="eastAsia"/>
          <w:b/>
          <w:bCs/>
          <w:color w:val="auto"/>
          <w:sz w:val="24"/>
          <w:szCs w:val="24"/>
          <w:highlight w:val="none"/>
        </w:rPr>
      </w:pPr>
      <w:r>
        <w:rPr>
          <w:rFonts w:hint="eastAsia"/>
          <w:b/>
          <w:bCs/>
          <w:color w:val="auto"/>
          <w:sz w:val="24"/>
          <w:szCs w:val="24"/>
          <w:highlight w:val="none"/>
        </w:rPr>
        <w:br w:type="column"/>
      </w:r>
      <w:r/>
    </w:p>
    <w:p>
      <w:pPr>
        <w:jc w:val="left"/>
        <w:spacing w:line="360" w:lineRule="auto"/>
        <w:tabs>
          <w:tab w:val="left" w:pos="1980" w:leader="none"/>
        </w:tabs>
        <w:rPr>
          <w:rFonts w:hint="eastAsia" w:ascii="宋体" w:hAnsi="宋体"/>
          <w:b/>
          <w:color w:val="auto"/>
          <w:sz w:val="24"/>
          <w:szCs w:val="24"/>
          <w:highlight w:val="none"/>
        </w:rPr>
      </w:pPr>
      <w:r>
        <w:rPr>
          <w:rFonts w:hint="eastAsia"/>
          <w:b/>
          <w:bCs/>
          <w:color w:val="auto"/>
          <w:sz w:val="24"/>
          <w:szCs w:val="24"/>
          <w:highlight w:val="none"/>
        </w:rPr>
        <w:t xml:space="preserve">附件1-3：</w:t>
      </w:r>
      <w:r>
        <w:rPr>
          <w:rFonts w:hint="eastAsia" w:ascii="宋体" w:hAnsi="宋体"/>
          <w:b/>
          <w:color w:val="auto"/>
          <w:sz w:val="24"/>
          <w:szCs w:val="24"/>
          <w:highlight w:val="none"/>
        </w:rPr>
        <w:t xml:space="preserve">电梯设施设备维保工作考核表</w:t>
      </w:r>
      <w:r/>
    </w:p>
    <w:p>
      <w:pPr>
        <w:jc w:val="center"/>
        <w:spacing w:line="360" w:lineRule="auto"/>
        <w:tabs>
          <w:tab w:val="left" w:pos="198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电梯设施设备维保工作考核表</w:t>
      </w:r>
      <w:r/>
    </w:p>
    <w:p>
      <w:pPr>
        <w:ind w:right="-143"/>
        <w:spacing w:line="360" w:lineRule="auto"/>
        <w:tabs>
          <w:tab w:val="left" w:pos="0" w:leader="none"/>
        </w:tabs>
        <w:rPr>
          <w:rFonts w:ascii="华文新魏" w:eastAsia="华文新魏"/>
          <w:color w:val="auto"/>
          <w:szCs w:val="21"/>
          <w:highlight w:val="none"/>
        </w:rPr>
      </w:pPr>
      <w:r>
        <w:rPr>
          <w:rFonts w:hint="eastAsia" w:ascii="宋体" w:hAnsi="宋体"/>
          <w:color w:val="auto"/>
          <w:szCs w:val="21"/>
          <w:highlight w:val="none"/>
        </w:rPr>
        <w:t xml:space="preserve">项目名称：</w:t>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维保单位：              </w:t>
      </w:r>
      <w:r>
        <w:rPr>
          <w:rFonts w:ascii="宋体" w:hAnsi="宋体"/>
          <w:color w:val="auto"/>
          <w:szCs w:val="21"/>
          <w:highlight w:val="none"/>
        </w:rPr>
        <w:t xml:space="preserve">      年   月                   </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6346"/>
        <w:gridCol w:w="993"/>
        <w:gridCol w:w="679"/>
        <w:gridCol w:w="1067"/>
      </w:tblGrid>
      <w:tr>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634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考核具体内容</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s="宋体"/>
                <w:color w:val="auto"/>
                <w:szCs w:val="21"/>
                <w:highlight w:val="none"/>
              </w:rPr>
              <w:t xml:space="preserve">本月实际发生情况</w:t>
            </w:r>
            <w:r/>
          </w:p>
        </w:tc>
        <w:tc>
          <w:tcPr>
            <w:tcW w:w="679"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s="宋体"/>
                <w:color w:val="auto"/>
                <w:szCs w:val="21"/>
                <w:highlight w:val="none"/>
              </w:rPr>
              <w:t xml:space="preserve">本月应扣罚的维保款项</w:t>
            </w:r>
            <w:r/>
          </w:p>
        </w:tc>
        <w:tc>
          <w:tcPr>
            <w:tcW w:w="1067"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s="宋体"/>
                <w:color w:val="auto"/>
                <w:szCs w:val="21"/>
                <w:highlight w:val="none"/>
              </w:rPr>
              <w:t xml:space="preserve">扣罚说明（简要描述）取证素材可另附页</w:t>
            </w:r>
            <w:r/>
          </w:p>
        </w:tc>
      </w:tr>
      <w:tr>
        <w:trPr>
          <w:trHeight w:val="1731"/>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1</w:t>
            </w:r>
            <w:r/>
          </w:p>
        </w:tc>
        <w:tc>
          <w:tcPr>
            <w:tcW w:w="6346"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发生紧急情况（水浸、同一单元过半</w:t>
            </w:r>
            <w:r>
              <w:rPr>
                <w:rFonts w:ascii="宋体" w:hAnsi="宋体"/>
                <w:color w:val="auto"/>
                <w:szCs w:val="21"/>
                <w:highlight w:val="none"/>
              </w:rPr>
              <w:t xml:space="preserve">以上</w:t>
            </w:r>
            <w:r>
              <w:rPr>
                <w:rFonts w:hint="eastAsia" w:ascii="宋体" w:hAnsi="宋体"/>
                <w:color w:val="auto"/>
                <w:szCs w:val="21"/>
                <w:highlight w:val="none"/>
              </w:rPr>
              <w:t xml:space="preserve">电梯发生故障等，乙方不能按时到达或出现维修不及时（小修</w:t>
            </w:r>
            <w:r>
              <w:rPr>
                <w:rFonts w:ascii="宋体" w:hAnsi="宋体"/>
                <w:color w:val="auto"/>
                <w:szCs w:val="21"/>
                <w:highlight w:val="none"/>
              </w:rPr>
              <w:t xml:space="preserve">24小时内修理完毕）</w:t>
            </w:r>
            <w:r>
              <w:rPr>
                <w:rFonts w:hint="eastAsia" w:ascii="宋体" w:hAnsi="宋体"/>
                <w:color w:val="auto"/>
                <w:szCs w:val="21"/>
                <w:highlight w:val="none"/>
              </w:rPr>
              <w:t xml:space="preserve">的情况</w:t>
            </w:r>
            <w:r>
              <w:rPr>
                <w:rFonts w:ascii="宋体" w:hAnsi="宋体"/>
                <w:color w:val="auto"/>
                <w:szCs w:val="21"/>
                <w:highlight w:val="none"/>
              </w:rPr>
              <w:t xml:space="preserve">，</w:t>
            </w:r>
            <w:r>
              <w:rPr>
                <w:rFonts w:hint="eastAsia" w:ascii="宋体" w:hAnsi="宋体"/>
                <w:color w:val="auto"/>
                <w:szCs w:val="21"/>
                <w:highlight w:val="none"/>
              </w:rPr>
              <w:t xml:space="preserve">月度内第一次出现扣除乙方当月电梯保养费</w:t>
            </w:r>
            <w:r>
              <w:rPr>
                <w:rFonts w:ascii="宋体" w:hAnsi="宋体"/>
                <w:color w:val="auto"/>
                <w:szCs w:val="21"/>
                <w:highlight w:val="none"/>
              </w:rPr>
              <w:t xml:space="preserve">5%，第二次</w:t>
            </w:r>
            <w:r>
              <w:rPr>
                <w:rFonts w:hint="eastAsia" w:ascii="宋体" w:hAnsi="宋体"/>
                <w:color w:val="auto"/>
                <w:szCs w:val="21"/>
                <w:highlight w:val="none"/>
              </w:rPr>
              <w:t xml:space="preserve">出现</w:t>
            </w:r>
            <w:r>
              <w:rPr>
                <w:rFonts w:ascii="宋体" w:hAnsi="宋体"/>
                <w:color w:val="auto"/>
                <w:szCs w:val="21"/>
                <w:highlight w:val="none"/>
              </w:rPr>
              <w:t xml:space="preserve">扣除当月电梯保养费10%；第三次</w:t>
            </w:r>
            <w:r>
              <w:rPr>
                <w:rFonts w:hint="eastAsia" w:ascii="宋体" w:hAnsi="宋体"/>
                <w:color w:val="auto"/>
                <w:szCs w:val="21"/>
                <w:highlight w:val="none"/>
              </w:rPr>
              <w:t xml:space="preserve">出现丙</w:t>
            </w:r>
            <w:r>
              <w:rPr>
                <w:rFonts w:ascii="宋体" w:hAnsi="宋体"/>
                <w:color w:val="auto"/>
                <w:szCs w:val="21"/>
                <w:highlight w:val="none"/>
              </w:rPr>
              <w:t xml:space="preserve">方有权扣除乙方当月电梯保养费20%</w:t>
            </w:r>
            <w:r>
              <w:rPr>
                <w:rFonts w:hint="eastAsia" w:ascii="宋体" w:hAnsi="宋体"/>
                <w:color w:val="auto"/>
                <w:szCs w:val="21"/>
                <w:highlight w:val="none"/>
              </w:rPr>
              <w:t xml:space="preserve">的</w:t>
            </w:r>
            <w:r>
              <w:rPr>
                <w:rFonts w:ascii="宋体" w:hAnsi="宋体"/>
                <w:color w:val="auto"/>
                <w:szCs w:val="21"/>
                <w:highlight w:val="none"/>
              </w:rPr>
              <w:t xml:space="preserve">违约金</w:t>
            </w:r>
            <w:r>
              <w:rPr>
                <w:rFonts w:hint="eastAsia" w:ascii="宋体" w:hAnsi="宋体"/>
                <w:color w:val="auto"/>
                <w:szCs w:val="21"/>
                <w:highlight w:val="none"/>
              </w:rPr>
              <w:t xml:space="preserve">，</w:t>
            </w:r>
            <w:r>
              <w:rPr>
                <w:rFonts w:ascii="宋体" w:hAnsi="宋体"/>
                <w:color w:val="auto"/>
                <w:szCs w:val="21"/>
                <w:highlight w:val="none"/>
              </w:rPr>
              <w:t xml:space="preserve">并</w:t>
            </w:r>
            <w:r>
              <w:rPr>
                <w:rFonts w:hint="eastAsia" w:ascii="宋体" w:hAnsi="宋体"/>
                <w:color w:val="auto"/>
                <w:szCs w:val="21"/>
                <w:highlight w:val="none"/>
              </w:rPr>
              <w:t xml:space="preserve">有权单方面</w:t>
            </w:r>
            <w:r>
              <w:rPr>
                <w:rFonts w:ascii="宋体" w:hAnsi="宋体"/>
                <w:color w:val="auto"/>
                <w:szCs w:val="21"/>
                <w:highlight w:val="none"/>
              </w:rPr>
              <w:t xml:space="preserve">终止合同，并且不需要承担因终止合同而引发的相关责任</w:t>
            </w:r>
            <w:r>
              <w:rPr>
                <w:rFonts w:hint="eastAsia" w:ascii="宋体" w:hAnsi="宋体"/>
                <w:color w:val="auto"/>
                <w:szCs w:val="21"/>
                <w:highlight w:val="none"/>
              </w:rPr>
              <w:t xml:space="preserve">。</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990"/>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2</w:t>
            </w:r>
            <w:r/>
          </w:p>
        </w:tc>
        <w:tc>
          <w:tcPr>
            <w:tcW w:w="6346"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s="宋体"/>
                <w:color w:val="auto"/>
                <w:szCs w:val="21"/>
                <w:highlight w:val="none"/>
              </w:rPr>
              <w:t xml:space="preserve">丙</w:t>
            </w:r>
            <w:r>
              <w:rPr>
                <w:rFonts w:ascii="宋体" w:hAnsi="宋体" w:cs="宋体"/>
                <w:color w:val="auto"/>
                <w:szCs w:val="21"/>
                <w:highlight w:val="none"/>
              </w:rPr>
              <w:t xml:space="preserve">方可在紧急情况下另请他人维修（乙方接到通知不能及时赶到现场时），费用从乙方应得款项中扣除，所维修的质量经</w:t>
            </w:r>
            <w:r>
              <w:rPr>
                <w:rFonts w:hint="eastAsia" w:ascii="宋体" w:hAnsi="宋体" w:cs="宋体"/>
                <w:color w:val="auto"/>
                <w:szCs w:val="21"/>
                <w:highlight w:val="none"/>
              </w:rPr>
              <w:t xml:space="preserve">丙方验收</w:t>
            </w:r>
            <w:r>
              <w:rPr>
                <w:rFonts w:ascii="宋体" w:hAnsi="宋体" w:cs="宋体"/>
                <w:color w:val="auto"/>
                <w:szCs w:val="21"/>
                <w:highlight w:val="none"/>
              </w:rPr>
              <w:t xml:space="preserve">合格后由乙方负责，并以书面形式知会乙方，存档备查。</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1247"/>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3</w:t>
            </w:r>
            <w:r/>
          </w:p>
        </w:tc>
        <w:tc>
          <w:tcPr>
            <w:tcW w:w="6346"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s="宋体"/>
                <w:color w:val="auto"/>
                <w:szCs w:val="21"/>
                <w:highlight w:val="none"/>
              </w:rPr>
              <w:t xml:space="preserve">保养期内如属乙方保养不良需复检的检测费须由乙方承担；在保养期内，质量技术监督局对电梯进行检查期间，甲乙双方应派员协助检查工作，但乙方需提前一周通知甲方，所有未通知甲方私自质监的质检费用由乙方承担。</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556"/>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4</w:t>
            </w:r>
            <w:r/>
          </w:p>
        </w:tc>
        <w:tc>
          <w:tcPr>
            <w:tcW w:w="6346"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发现</w:t>
            </w:r>
            <w:r>
              <w:rPr>
                <w:rFonts w:hint="eastAsia" w:ascii="宋体" w:hAnsi="宋体"/>
                <w:color w:val="auto"/>
                <w:szCs w:val="21"/>
                <w:highlight w:val="none"/>
              </w:rPr>
              <w:t xml:space="preserve">乙方临时委派无维保资格证的</w:t>
            </w:r>
            <w:r>
              <w:rPr>
                <w:rFonts w:ascii="宋体" w:hAnsi="宋体"/>
                <w:color w:val="auto"/>
                <w:szCs w:val="21"/>
                <w:highlight w:val="none"/>
              </w:rPr>
              <w:t xml:space="preserve">人员保养电梯：扣</w:t>
            </w:r>
            <w:r>
              <w:rPr>
                <w:rFonts w:hint="eastAsia" w:ascii="宋体" w:hAnsi="宋体"/>
                <w:color w:val="auto"/>
                <w:szCs w:val="21"/>
                <w:highlight w:val="none"/>
              </w:rPr>
              <w:t xml:space="preserve">罚</w:t>
            </w:r>
            <w:r>
              <w:rPr>
                <w:rFonts w:ascii="宋体" w:hAnsi="宋体"/>
                <w:color w:val="auto"/>
                <w:szCs w:val="21"/>
                <w:highlight w:val="none"/>
              </w:rPr>
              <w:t xml:space="preserve">违约金200元/人/次；</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708"/>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5</w:t>
            </w:r>
            <w:r/>
          </w:p>
        </w:tc>
        <w:tc>
          <w:tcPr>
            <w:tcW w:w="6346"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ascii="宋体" w:hAnsi="宋体" w:cs="宋体"/>
                <w:color w:val="auto"/>
                <w:szCs w:val="21"/>
                <w:highlight w:val="none"/>
              </w:rPr>
              <w:t xml:space="preserve">乙方保养、维修时，基站不设警示标识：扣</w:t>
            </w:r>
            <w:r>
              <w:rPr>
                <w:rFonts w:hint="eastAsia" w:ascii="宋体" w:hAnsi="宋体" w:cs="宋体"/>
                <w:color w:val="auto"/>
                <w:szCs w:val="21"/>
                <w:highlight w:val="none"/>
              </w:rPr>
              <w:t xml:space="preserve">罚</w:t>
            </w:r>
            <w:r>
              <w:rPr>
                <w:rFonts w:ascii="宋体" w:hAnsi="宋体" w:cs="宋体"/>
                <w:color w:val="auto"/>
                <w:szCs w:val="21"/>
                <w:highlight w:val="none"/>
              </w:rPr>
              <w:t xml:space="preserve">违约金200元/次，若因乙方安全预防措施不到位而导致的事故，均由乙方承担责任；</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506"/>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6</w:t>
            </w:r>
            <w:r/>
          </w:p>
        </w:tc>
        <w:tc>
          <w:tcPr>
            <w:tcW w:w="6346"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乙方接到报修没有在30分钟内到达现场：违约金为扣款200元/次；</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475"/>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7</w:t>
            </w:r>
            <w:r/>
          </w:p>
        </w:tc>
        <w:tc>
          <w:tcPr>
            <w:tcW w:w="6346" w:type="dxa"/>
            <w:textDirection w:val="lrTb"/>
            <w:noWrap w:val="false"/>
          </w:tcPr>
          <w:p>
            <w:pPr>
              <w:spacing w:line="360" w:lineRule="auto"/>
              <w:tabs>
                <w:tab w:val="left" w:pos="1980" w:leader="none"/>
              </w:tabs>
              <w:rPr>
                <w:rFonts w:hint="eastAsia" w:ascii="宋体" w:hAnsi="宋体"/>
                <w:color w:val="auto"/>
                <w:szCs w:val="21"/>
                <w:highlight w:val="none"/>
              </w:rPr>
            </w:pPr>
            <w:r>
              <w:rPr>
                <w:rFonts w:ascii="宋体" w:hAnsi="宋体" w:cs="宋体"/>
                <w:color w:val="auto"/>
                <w:szCs w:val="21"/>
                <w:highlight w:val="none"/>
              </w:rPr>
              <w:t xml:space="preserve">乙方接到困人报修</w:t>
            </w:r>
            <w:r>
              <w:rPr>
                <w:rFonts w:hint="eastAsia" w:ascii="宋体" w:hAnsi="宋体" w:cs="宋体"/>
                <w:color w:val="auto"/>
                <w:szCs w:val="21"/>
                <w:highlight w:val="none"/>
              </w:rPr>
              <w:t xml:space="preserve">未</w:t>
            </w:r>
            <w:r>
              <w:rPr>
                <w:rFonts w:ascii="宋体" w:hAnsi="宋体" w:cs="宋体"/>
                <w:color w:val="auto"/>
                <w:szCs w:val="21"/>
                <w:highlight w:val="none"/>
              </w:rPr>
              <w:t xml:space="preserve">在</w:t>
            </w:r>
            <w:r>
              <w:rPr>
                <w:rFonts w:hint="eastAsia" w:ascii="宋体" w:hAnsi="宋体" w:cs="宋体"/>
                <w:color w:val="auto"/>
                <w:szCs w:val="21"/>
                <w:highlight w:val="none"/>
              </w:rPr>
              <w:t xml:space="preserve">20</w:t>
            </w:r>
            <w:r>
              <w:rPr>
                <w:rFonts w:ascii="宋体" w:hAnsi="宋体" w:cs="宋体"/>
                <w:color w:val="auto"/>
                <w:szCs w:val="21"/>
                <w:highlight w:val="none"/>
              </w:rPr>
              <w:t xml:space="preserve">分钟内到达现场</w:t>
            </w:r>
            <w:r>
              <w:rPr>
                <w:rFonts w:hint="eastAsia" w:ascii="宋体" w:hAnsi="宋体" w:cs="宋体"/>
                <w:color w:val="auto"/>
                <w:szCs w:val="21"/>
                <w:highlight w:val="none"/>
              </w:rPr>
              <w:t xml:space="preserve">,</w:t>
            </w:r>
            <w:r>
              <w:rPr>
                <w:rFonts w:ascii="宋体" w:hAnsi="宋体" w:cs="宋体"/>
                <w:color w:val="auto"/>
                <w:szCs w:val="21"/>
                <w:highlight w:val="none"/>
              </w:rPr>
              <w:t xml:space="preserve">扣</w:t>
            </w:r>
            <w:r>
              <w:rPr>
                <w:rFonts w:hint="eastAsia" w:ascii="宋体" w:hAnsi="宋体" w:cs="宋体"/>
                <w:color w:val="auto"/>
                <w:szCs w:val="21"/>
                <w:highlight w:val="none"/>
              </w:rPr>
              <w:t xml:space="preserve">罚</w:t>
            </w:r>
            <w:r>
              <w:rPr>
                <w:rFonts w:ascii="宋体" w:hAnsi="宋体" w:cs="宋体"/>
                <w:color w:val="auto"/>
                <w:szCs w:val="21"/>
                <w:highlight w:val="none"/>
              </w:rPr>
              <w:t xml:space="preserve">违约金300元/次</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777"/>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8</w:t>
            </w:r>
            <w:r/>
          </w:p>
        </w:tc>
        <w:tc>
          <w:tcPr>
            <w:tcW w:w="6346"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因乙方保养不善或技术能力不足，当月</w:t>
            </w:r>
            <w:r>
              <w:rPr>
                <w:rFonts w:hint="eastAsia" w:ascii="宋体" w:hAnsi="宋体"/>
                <w:color w:val="auto"/>
                <w:szCs w:val="21"/>
                <w:highlight w:val="none"/>
              </w:rPr>
              <w:t xml:space="preserve">同一台电梯连续</w:t>
            </w:r>
            <w:r>
              <w:rPr>
                <w:rFonts w:ascii="宋体" w:hAnsi="宋体"/>
                <w:color w:val="auto"/>
                <w:szCs w:val="21"/>
                <w:highlight w:val="none"/>
              </w:rPr>
              <w:t xml:space="preserve">发生故障</w:t>
            </w:r>
            <w:r>
              <w:rPr>
                <w:rFonts w:hint="eastAsia" w:ascii="宋体" w:hAnsi="宋体"/>
                <w:color w:val="auto"/>
                <w:szCs w:val="21"/>
                <w:highlight w:val="none"/>
              </w:rPr>
              <w:t xml:space="preserve">2</w:t>
            </w:r>
            <w:r>
              <w:rPr>
                <w:rFonts w:ascii="宋体" w:hAnsi="宋体"/>
                <w:color w:val="auto"/>
                <w:szCs w:val="21"/>
                <w:highlight w:val="none"/>
              </w:rPr>
              <w:t xml:space="preserve">次的：扣除违约金200元/次</w:t>
            </w:r>
            <w:r>
              <w:rPr>
                <w:rFonts w:hint="eastAsia" w:ascii="宋体" w:hAnsi="宋体"/>
                <w:color w:val="auto"/>
                <w:szCs w:val="21"/>
                <w:highlight w:val="none"/>
              </w:rPr>
              <w:t xml:space="preserve">；</w:t>
            </w:r>
            <w:r>
              <w:rPr>
                <w:rFonts w:ascii="宋体" w:hAnsi="宋体"/>
                <w:color w:val="auto"/>
                <w:szCs w:val="21"/>
                <w:highlight w:val="none"/>
              </w:rPr>
              <w:t xml:space="preserve">当月</w:t>
            </w:r>
            <w:r>
              <w:rPr>
                <w:rFonts w:hint="eastAsia" w:ascii="宋体" w:hAnsi="宋体"/>
                <w:color w:val="auto"/>
                <w:szCs w:val="21"/>
                <w:highlight w:val="none"/>
              </w:rPr>
              <w:t xml:space="preserve">同一台电梯连续</w:t>
            </w:r>
            <w:r>
              <w:rPr>
                <w:rFonts w:ascii="宋体" w:hAnsi="宋体"/>
                <w:color w:val="auto"/>
                <w:szCs w:val="21"/>
                <w:highlight w:val="none"/>
              </w:rPr>
              <w:t xml:space="preserve">发生故障3次及以上的：</w:t>
            </w:r>
            <w:r>
              <w:rPr>
                <w:rFonts w:hint="eastAsia" w:ascii="宋体" w:hAnsi="宋体"/>
                <w:color w:val="auto"/>
                <w:szCs w:val="21"/>
                <w:highlight w:val="none"/>
              </w:rPr>
              <w:t xml:space="preserve">扣除</w:t>
            </w:r>
            <w:r>
              <w:rPr>
                <w:rFonts w:ascii="宋体" w:hAnsi="宋体"/>
                <w:color w:val="auto"/>
                <w:szCs w:val="21"/>
                <w:highlight w:val="none"/>
              </w:rPr>
              <w:t xml:space="preserve">该台电梯当月维保费用总额</w:t>
            </w:r>
            <w:r>
              <w:rPr>
                <w:rFonts w:hint="eastAsia" w:ascii="宋体" w:hAnsi="宋体"/>
                <w:color w:val="auto"/>
                <w:szCs w:val="21"/>
                <w:highlight w:val="none"/>
              </w:rPr>
              <w:t xml:space="preserve">。</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3203"/>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9</w:t>
            </w:r>
            <w:r/>
          </w:p>
        </w:tc>
        <w:tc>
          <w:tcPr>
            <w:tcW w:w="6346" w:type="dxa"/>
            <w:vAlign w:val="center"/>
            <w:textDirection w:val="lrTb"/>
            <w:noWrap w:val="false"/>
          </w:tcPr>
          <w:p>
            <w:pPr>
              <w:ind w:right="-84"/>
              <w:spacing w:line="360" w:lineRule="auto"/>
              <w:rPr>
                <w:rFonts w:hint="eastAsia" w:ascii="宋体" w:hAnsi="宋体"/>
                <w:color w:val="auto"/>
                <w:szCs w:val="21"/>
                <w:highlight w:val="none"/>
              </w:rPr>
            </w:pPr>
            <w:r>
              <w:rPr>
                <w:rFonts w:ascii="宋体" w:hAnsi="宋体"/>
                <w:color w:val="auto"/>
                <w:szCs w:val="21"/>
                <w:highlight w:val="none"/>
              </w:rPr>
              <mc:AlternateContent>
                <mc:Choice Requires="wpg">
                  <w:drawing>
                    <wp:inline xmlns:wp="http://schemas.openxmlformats.org/drawingml/2006/wordprocessingDrawing" distT="0" distB="0" distL="0" distR="0">
                      <wp:extent cx="3771900" cy="126492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771900" cy="126491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7.0pt;height:99.6pt;mso-wrap-distance-left:0.0pt;mso-wrap-distance-top:0.0pt;mso-wrap-distance-right:0.0pt;mso-wrap-distance-bottom:0.0pt;" stroked="f">
                      <v:path textboxrect="0,0,0,0"/>
                      <v:imagedata r:id="rId20" o:title=""/>
                    </v:shape>
                  </w:pict>
                </mc:Fallback>
              </mc:AlternateContent>
            </w:r>
            <w:r/>
          </w:p>
          <w:p>
            <w:pPr>
              <w:ind w:right="-84"/>
              <w:spacing w:line="360" w:lineRule="auto"/>
              <w:rPr>
                <w:rFonts w:hint="eastAsia" w:ascii="宋体" w:hAnsi="宋体"/>
                <w:color w:val="auto"/>
                <w:szCs w:val="21"/>
                <w:highlight w:val="none"/>
              </w:rPr>
            </w:pPr>
            <w:r>
              <w:rPr>
                <w:rFonts w:hint="eastAsia" w:ascii="宋体" w:hAnsi="宋体"/>
                <w:color w:val="auto"/>
                <w:szCs w:val="21"/>
                <w:highlight w:val="none"/>
              </w:rPr>
              <w:t xml:space="preserve">1、电梯总量＞30台的总体平均故障率＞</w:t>
            </w:r>
            <w:r>
              <w:rPr>
                <w:rFonts w:ascii="宋体" w:hAnsi="宋体"/>
                <w:color w:val="auto"/>
                <w:szCs w:val="21"/>
                <w:highlight w:val="none"/>
              </w:rPr>
              <w:t xml:space="preserve">15</w:t>
            </w:r>
            <w:r>
              <w:rPr>
                <w:rFonts w:hint="eastAsia" w:ascii="宋体" w:hAnsi="宋体"/>
                <w:color w:val="auto"/>
                <w:szCs w:val="21"/>
                <w:highlight w:val="none"/>
              </w:rPr>
              <w:t xml:space="preserve">%，电梯总量≤30台的故障次数累计＞</w:t>
            </w:r>
            <w:r>
              <w:rPr>
                <w:rFonts w:ascii="宋体" w:hAnsi="宋体"/>
                <w:color w:val="auto"/>
                <w:szCs w:val="21"/>
                <w:highlight w:val="none"/>
              </w:rPr>
              <w:t xml:space="preserve">6</w:t>
            </w:r>
            <w:r>
              <w:rPr>
                <w:rFonts w:hint="eastAsia" w:ascii="宋体" w:hAnsi="宋体"/>
                <w:color w:val="auto"/>
                <w:szCs w:val="21"/>
                <w:highlight w:val="none"/>
              </w:rPr>
              <w:t xml:space="preserve">次，丙方可根据实际情况约谈乙方，连续2个月无明显改善的，丙方有权更换电梯维保单位；</w:t>
            </w:r>
            <w:r/>
          </w:p>
          <w:p>
            <w:pPr>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、以上所述“电梯故障率”指因乙方维保不当、技术能力不足导致的电梯故障；</w:t>
            </w:r>
            <w:r>
              <w:rPr>
                <w:rFonts w:ascii="宋体" w:hAnsi="宋体"/>
                <w:color w:val="auto"/>
                <w:szCs w:val="21"/>
                <w:highlight w:val="none"/>
              </w:rPr>
              <w:t xml:space="preserve">例如</w:t>
            </w:r>
            <w:r>
              <w:rPr>
                <w:rFonts w:hint="eastAsia" w:ascii="宋体" w:hAnsi="宋体"/>
                <w:color w:val="auto"/>
                <w:szCs w:val="21"/>
                <w:highlight w:val="none"/>
              </w:rPr>
              <w:t xml:space="preserve">装修原因、电网电压波动、电梯浸水、恶劣天气、底坑渗漏水、井道渗漏水造成的电梯故障不纳入对乙方考核范畴；</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3、总体平均故障率=当月电梯故障次数/电梯总台数。</w:t>
            </w:r>
            <w:r/>
          </w:p>
        </w:tc>
        <w:tc>
          <w:tcPr>
            <w:tcW w:w="993"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本月电梯总体平均故障率</w:t>
            </w:r>
            <w:r/>
          </w:p>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故障次数累计（</w:t>
            </w:r>
            <w:r>
              <w:rPr>
                <w:rFonts w:ascii="宋体" w:hAnsi="宋体"/>
                <w:color w:val="auto"/>
                <w:szCs w:val="21"/>
                <w:highlight w:val="none"/>
                <w:u w:val="singl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172"/>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10</w:t>
            </w:r>
            <w:r/>
          </w:p>
        </w:tc>
        <w:tc>
          <w:tcPr>
            <w:tcW w:w="6346"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s="宋体"/>
                <w:color w:val="auto"/>
                <w:szCs w:val="21"/>
                <w:highlight w:val="none"/>
              </w:rPr>
              <w:t xml:space="preserve">乙方因机械、工具或技术、劳力等跟不上管理维保需要造成管理维保质量不合格的，第一个月甲方或丙方要求乙方限期整改；第二个月仍不合格的，由此造成的损失由乙方承担，乙方需向丙方支付合同总额</w:t>
            </w:r>
            <w:r>
              <w:rPr>
                <w:rFonts w:ascii="宋体" w:hAnsi="宋体" w:cs="宋体"/>
                <w:color w:val="auto"/>
                <w:szCs w:val="21"/>
                <w:highlight w:val="none"/>
              </w:rPr>
              <w:t xml:space="preserve">10%的违约金。</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796"/>
        </w:trPr>
        <w:tc>
          <w:tcPr>
            <w:tcW w:w="426" w:type="dxa"/>
            <w:vAlign w:val="center"/>
            <w:vMerge w:val="restart"/>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11</w:t>
            </w:r>
            <w:r/>
          </w:p>
        </w:tc>
        <w:tc>
          <w:tcPr>
            <w:tcW w:w="6346"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ascii="宋体" w:hAnsi="宋体" w:cs="宋体"/>
                <w:color w:val="auto"/>
                <w:szCs w:val="21"/>
                <w:highlight w:val="none"/>
              </w:rPr>
              <w:t xml:space="preserve">未经甲方同意，乙方不得擅自更换派驻在甲方工作的技术人员（员工离职除外）。否则，</w:t>
            </w:r>
            <w:r>
              <w:rPr>
                <w:rFonts w:hint="eastAsia" w:ascii="宋体" w:hAnsi="宋体" w:cs="宋体"/>
                <w:color w:val="auto"/>
                <w:szCs w:val="21"/>
                <w:highlight w:val="none"/>
              </w:rPr>
              <w:t xml:space="preserve">乙方向丙方支付合同总额</w:t>
            </w:r>
            <w:r>
              <w:rPr>
                <w:rFonts w:ascii="宋体" w:hAnsi="宋体" w:cs="宋体"/>
                <w:color w:val="auto"/>
                <w:szCs w:val="21"/>
                <w:highlight w:val="none"/>
              </w:rPr>
              <w:t xml:space="preserve">10%的违约金。</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1163"/>
        </w:trPr>
        <w:tc>
          <w:tcPr>
            <w:tcW w:w="426" w:type="dxa"/>
            <w:vAlign w:val="center"/>
            <w:vMerge w:val="continue"/>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6346" w:type="dxa"/>
            <w:vAlign w:val="center"/>
            <w:textDirection w:val="lrTb"/>
            <w:noWrap w:val="false"/>
          </w:tcPr>
          <w:p>
            <w:pPr>
              <w:spacing w:line="360" w:lineRule="auto"/>
              <w:tabs>
                <w:tab w:val="left" w:pos="1980" w:leader="none"/>
              </w:tabs>
              <w:rPr>
                <w:rFonts w:hint="eastAsia" w:ascii="宋体" w:hAnsi="宋体" w:cs="宋体"/>
                <w:color w:val="auto"/>
                <w:szCs w:val="21"/>
                <w:highlight w:val="none"/>
              </w:rPr>
            </w:pPr>
            <w:r>
              <w:rPr>
                <w:rFonts w:ascii="宋体" w:hAnsi="宋体" w:cs="宋体"/>
                <w:color w:val="auto"/>
                <w:szCs w:val="21"/>
                <w:highlight w:val="none"/>
              </w:rPr>
              <w:t xml:space="preserve">合同期内，未</w:t>
            </w:r>
            <w:r>
              <w:rPr>
                <w:rFonts w:hint="eastAsia" w:ascii="宋体" w:hAnsi="宋体" w:cs="宋体"/>
                <w:color w:val="auto"/>
                <w:szCs w:val="21"/>
                <w:highlight w:val="none"/>
              </w:rPr>
              <w:t xml:space="preserve">经甲方、丙方同意，</w:t>
            </w:r>
            <w:r>
              <w:rPr>
                <w:rFonts w:ascii="宋体" w:hAnsi="宋体" w:cs="宋体"/>
                <w:color w:val="auto"/>
                <w:szCs w:val="21"/>
                <w:highlight w:val="none"/>
              </w:rPr>
              <w:t xml:space="preserve">乙方</w:t>
            </w:r>
            <w:r>
              <w:rPr>
                <w:rFonts w:hint="eastAsia" w:ascii="宋体" w:hAnsi="宋体" w:cs="宋体"/>
                <w:color w:val="auto"/>
                <w:szCs w:val="21"/>
                <w:highlight w:val="none"/>
              </w:rPr>
              <w:t xml:space="preserve">擅自更改</w:t>
            </w:r>
            <w:r>
              <w:rPr>
                <w:rFonts w:ascii="宋体" w:hAnsi="宋体" w:cs="宋体"/>
                <w:color w:val="auto"/>
                <w:szCs w:val="21"/>
                <w:highlight w:val="none"/>
              </w:rPr>
              <w:t xml:space="preserve">维保计划3次及以上的，</w:t>
            </w:r>
            <w:r>
              <w:rPr>
                <w:rFonts w:hint="eastAsia" w:ascii="宋体" w:hAnsi="宋体" w:cs="宋体"/>
                <w:color w:val="auto"/>
                <w:szCs w:val="21"/>
                <w:highlight w:val="none"/>
              </w:rPr>
              <w:t xml:space="preserve">丙方有权要求乙方</w:t>
            </w:r>
            <w:r>
              <w:rPr>
                <w:rFonts w:ascii="宋体" w:hAnsi="宋体" w:cs="宋体"/>
                <w:color w:val="auto"/>
                <w:szCs w:val="21"/>
                <w:highlight w:val="none"/>
              </w:rPr>
              <w:t xml:space="preserve">赔偿合同总金额20%的违约金，违约金不足以赔偿</w:t>
            </w:r>
            <w:r>
              <w:rPr>
                <w:rFonts w:hint="eastAsia" w:ascii="宋体" w:hAnsi="宋体" w:cs="宋体"/>
                <w:color w:val="auto"/>
                <w:szCs w:val="21"/>
                <w:highlight w:val="none"/>
              </w:rPr>
              <w:t xml:space="preserve">丙</w:t>
            </w:r>
            <w:r>
              <w:rPr>
                <w:rFonts w:ascii="宋体" w:hAnsi="宋体" w:cs="宋体"/>
                <w:color w:val="auto"/>
                <w:szCs w:val="21"/>
                <w:highlight w:val="none"/>
              </w:rPr>
              <w:t xml:space="preserve">方损失的，</w:t>
            </w:r>
            <w:r>
              <w:rPr>
                <w:rFonts w:hint="eastAsia" w:ascii="宋体" w:hAnsi="宋体" w:cs="宋体"/>
                <w:color w:val="auto"/>
                <w:szCs w:val="21"/>
                <w:highlight w:val="none"/>
              </w:rPr>
              <w:t xml:space="preserve">丙</w:t>
            </w:r>
            <w:r>
              <w:rPr>
                <w:rFonts w:ascii="宋体" w:hAnsi="宋体" w:cs="宋体"/>
                <w:color w:val="auto"/>
                <w:szCs w:val="21"/>
                <w:highlight w:val="none"/>
              </w:rPr>
              <w:t xml:space="preserve">方有权继续向乙方追偿给造成</w:t>
            </w:r>
            <w:r>
              <w:rPr>
                <w:rFonts w:hint="eastAsia" w:ascii="宋体" w:hAnsi="宋体" w:cs="宋体"/>
                <w:color w:val="auto"/>
                <w:szCs w:val="21"/>
                <w:highlight w:val="none"/>
              </w:rPr>
              <w:t xml:space="preserve">丙</w:t>
            </w:r>
            <w:r>
              <w:rPr>
                <w:rFonts w:ascii="宋体" w:hAnsi="宋体" w:cs="宋体"/>
                <w:color w:val="auto"/>
                <w:szCs w:val="21"/>
                <w:highlight w:val="none"/>
              </w:rPr>
              <w:t xml:space="preserve">方的直接经济损失。</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次</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1433"/>
        </w:trPr>
        <w:tc>
          <w:tcPr>
            <w:tcW w:w="42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12</w:t>
            </w:r>
            <w:r/>
          </w:p>
        </w:tc>
        <w:tc>
          <w:tcPr>
            <w:tcW w:w="6346"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s="宋体"/>
                <w:color w:val="auto"/>
                <w:szCs w:val="21"/>
                <w:highlight w:val="none"/>
              </w:rPr>
              <w:t xml:space="preserve">电梯设施设备维保工作考核表评分达到</w:t>
            </w:r>
            <w:r>
              <w:rPr>
                <w:rFonts w:ascii="宋体" w:hAnsi="宋体" w:cs="宋体"/>
                <w:color w:val="auto"/>
                <w:szCs w:val="21"/>
                <w:highlight w:val="none"/>
              </w:rPr>
              <w:t xml:space="preserve">90分（含90分）以上的</w:t>
            </w:r>
            <w:r>
              <w:rPr>
                <w:rFonts w:hint="eastAsia" w:ascii="宋体" w:hAnsi="宋体" w:cs="宋体"/>
                <w:color w:val="auto"/>
                <w:szCs w:val="21"/>
                <w:highlight w:val="none"/>
              </w:rPr>
              <w:t xml:space="preserve">不另扣该</w:t>
            </w:r>
            <w:r>
              <w:rPr>
                <w:rFonts w:ascii="宋体" w:hAnsi="宋体" w:cs="宋体"/>
                <w:color w:val="auto"/>
                <w:szCs w:val="21"/>
                <w:highlight w:val="none"/>
              </w:rPr>
              <w:t xml:space="preserve">项目</w:t>
            </w:r>
            <w:r>
              <w:rPr>
                <w:rFonts w:hint="eastAsia" w:ascii="宋体" w:hAnsi="宋体" w:cs="宋体"/>
                <w:color w:val="auto"/>
                <w:szCs w:val="21"/>
                <w:highlight w:val="none"/>
              </w:rPr>
              <w:t xml:space="preserve">当月维修保养费，考核评分低于</w:t>
            </w:r>
            <w:r>
              <w:rPr>
                <w:rFonts w:ascii="宋体" w:hAnsi="宋体" w:cs="宋体"/>
                <w:color w:val="auto"/>
                <w:szCs w:val="21"/>
                <w:highlight w:val="none"/>
              </w:rPr>
              <w:t xml:space="preserve">90分相应扣减</w:t>
            </w:r>
            <w:r>
              <w:rPr>
                <w:rFonts w:hint="eastAsia" w:ascii="宋体" w:hAnsi="宋体" w:cs="宋体"/>
                <w:color w:val="auto"/>
                <w:szCs w:val="21"/>
                <w:highlight w:val="none"/>
              </w:rPr>
              <w:t xml:space="preserve">该项目当月保养费的</w:t>
            </w:r>
            <w:r>
              <w:rPr>
                <w:rFonts w:ascii="宋体" w:hAnsi="宋体" w:cs="宋体"/>
                <w:color w:val="auto"/>
                <w:szCs w:val="21"/>
                <w:highlight w:val="none"/>
              </w:rPr>
              <w:t xml:space="preserve">5%，低于85分相应扣减</w:t>
            </w:r>
            <w:r>
              <w:rPr>
                <w:rFonts w:hint="eastAsia" w:ascii="宋体" w:hAnsi="宋体" w:cs="宋体"/>
                <w:color w:val="auto"/>
                <w:szCs w:val="21"/>
                <w:highlight w:val="none"/>
              </w:rPr>
              <w:t xml:space="preserve">该项目当月保养费的</w:t>
            </w:r>
            <w:r>
              <w:rPr>
                <w:rFonts w:ascii="宋体" w:hAnsi="宋体" w:cs="宋体"/>
                <w:color w:val="auto"/>
                <w:szCs w:val="21"/>
                <w:highlight w:val="none"/>
              </w:rPr>
              <w:t xml:space="preserve">10%，如此类推；连续</w:t>
            </w:r>
            <w:r>
              <w:rPr>
                <w:rFonts w:hint="eastAsia" w:ascii="宋体" w:hAnsi="宋体" w:cs="宋体"/>
                <w:color w:val="auto"/>
                <w:szCs w:val="21"/>
                <w:highlight w:val="none"/>
              </w:rPr>
              <w:t xml:space="preserve">两</w:t>
            </w:r>
            <w:r>
              <w:rPr>
                <w:rFonts w:ascii="宋体" w:hAnsi="宋体" w:cs="宋体"/>
                <w:color w:val="auto"/>
                <w:szCs w:val="21"/>
                <w:highlight w:val="none"/>
              </w:rPr>
              <w:t xml:space="preserve">个月考核评分低于50分的</w:t>
            </w:r>
            <w:r>
              <w:rPr>
                <w:rFonts w:hint="eastAsia" w:ascii="宋体" w:hAnsi="宋体" w:cs="宋体"/>
                <w:color w:val="auto"/>
                <w:szCs w:val="21"/>
                <w:highlight w:val="none"/>
              </w:rPr>
              <w:t xml:space="preserve">丙</w:t>
            </w:r>
            <w:r>
              <w:rPr>
                <w:rFonts w:ascii="宋体" w:hAnsi="宋体" w:cs="宋体"/>
                <w:color w:val="auto"/>
                <w:szCs w:val="21"/>
                <w:highlight w:val="none"/>
              </w:rPr>
              <w:t xml:space="preserve">方有权终止合同。</w:t>
            </w:r>
            <w:r/>
          </w:p>
        </w:tc>
        <w:tc>
          <w:tcPr>
            <w:tcW w:w="993" w:type="dxa"/>
            <w:vAlign w:val="center"/>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ascii="宋体" w:hAnsi="宋体"/>
                <w:color w:val="auto"/>
                <w:szCs w:val="21"/>
                <w:highlight w:val="none"/>
              </w:rPr>
              <w:t xml:space="preserve">本月电梯评分</w:t>
            </w:r>
            <w:r>
              <w:rPr>
                <w:rFonts w:hint="eastAsia" w:ascii="宋体" w:hAnsi="宋体"/>
                <w:color w:val="auto"/>
                <w:szCs w:val="21"/>
                <w:highlight w:val="none"/>
              </w:rPr>
              <w:t xml:space="preserve">（   ）</w:t>
            </w:r>
            <w:r>
              <w:rPr>
                <w:rFonts w:ascii="宋体" w:hAnsi="宋体"/>
                <w:color w:val="auto"/>
                <w:szCs w:val="21"/>
                <w:highlight w:val="none"/>
              </w:rPr>
              <w:t xml:space="preserve">   分</w:t>
            </w:r>
            <w:r/>
          </w:p>
        </w:tc>
        <w:tc>
          <w:tcPr>
            <w:tcW w:w="679"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c>
          <w:tcPr>
            <w:tcW w:w="1067" w:type="dxa"/>
            <w:vAlign w:val="center"/>
            <w:textDirection w:val="lrTb"/>
            <w:noWrap w:val="false"/>
          </w:tcPr>
          <w:p>
            <w:pP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r>
            <w:r/>
          </w:p>
        </w:tc>
      </w:tr>
      <w:tr>
        <w:trPr>
          <w:trHeight w:val="472"/>
        </w:trPr>
        <w:tc>
          <w:tcPr>
            <w:gridSpan w:val="5"/>
            <w:tcW w:w="9511" w:type="dxa"/>
            <w:vAlign w:val="bottom"/>
            <w:textDirection w:val="lrTb"/>
            <w:noWrap w:val="false"/>
          </w:tcPr>
          <w:p>
            <w:pPr>
              <w:jc w:val="center"/>
              <w:spacing w:line="360" w:lineRule="auto"/>
              <w:tabs>
                <w:tab w:val="left" w:pos="1980" w:leader="none"/>
              </w:tabs>
              <w:rPr>
                <w:rFonts w:hint="eastAsia" w:ascii="宋体" w:hAnsi="宋体"/>
                <w:color w:val="auto"/>
                <w:szCs w:val="21"/>
                <w:highlight w:val="none"/>
              </w:rPr>
            </w:pPr>
            <w:r>
              <w:rPr>
                <w:rFonts w:hint="eastAsia" w:ascii="宋体" w:hAnsi="宋体"/>
                <w:color w:val="auto"/>
                <w:szCs w:val="21"/>
                <w:highlight w:val="none"/>
              </w:rPr>
              <w:t xml:space="preserve">当月扣罚维保费总计：</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元（大写：                 </w:t>
            </w:r>
            <w:r>
              <w:rPr>
                <w:rFonts w:ascii="宋体" w:hAnsi="宋体"/>
                <w:color w:val="auto"/>
                <w:szCs w:val="21"/>
                <w:highlight w:val="none"/>
              </w:rPr>
              <w:t xml:space="preserve">）</w:t>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甲方确认：                         乙方确认：                       </w:t>
      </w:r>
      <w:r/>
    </w:p>
    <w:p>
      <w:pPr>
        <w:rPr>
          <w:color w:val="auto"/>
          <w:highlight w:val="none"/>
        </w:rPr>
      </w:pPr>
      <w:r>
        <w:rPr>
          <w:rFonts w:ascii="宋体" w:hAnsi="宋体"/>
          <w:color w:val="auto"/>
          <w:szCs w:val="21"/>
          <w:highlight w:val="none"/>
        </w:rPr>
        <w:t xml:space="preserve">日期</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日期： </w:t>
      </w:r>
      <w:r>
        <w:rPr>
          <w:rFonts w:ascii="宋体" w:hAnsi="宋体"/>
          <w:color w:val="auto"/>
          <w:szCs w:val="21"/>
          <w:highlight w:val="none"/>
        </w:rPr>
        <w:t xml:space="preserve">  </w:t>
      </w:r>
      <w:r/>
    </w:p>
    <w:p>
      <w:pPr>
        <w:pStyle w:val="1158"/>
        <w:spacing w:line="440" w:lineRule="exact"/>
        <w:rPr>
          <w:rFonts w:hint="eastAsia" w:ascii="宋体" w:hAnsi="宋体" w:cs="宋体"/>
          <w:color w:val="auto"/>
          <w:highlight w:val="none"/>
        </w:rPr>
      </w:pPr>
      <w:r>
        <w:rPr>
          <w:rFonts w:hint="eastAsia" w:ascii="宋体" w:hAnsi="宋体" w:cs="宋体"/>
          <w:color w:val="auto"/>
          <w:highlight w:val="none"/>
        </w:rPr>
      </w:r>
      <w:r/>
    </w:p>
    <w:p>
      <w:pPr>
        <w:pStyle w:val="1158"/>
        <w:ind w:firstLine="0"/>
        <w:spacing w:line="440" w:lineRule="exact"/>
        <w:rPr>
          <w:rFonts w:hint="eastAsia" w:ascii="宋体" w:hAnsi="宋体" w:cs="宋体"/>
          <w:b/>
          <w:color w:val="auto"/>
          <w:sz w:val="44"/>
          <w:szCs w:val="44"/>
          <w:highlight w:val="none"/>
        </w:rPr>
      </w:pPr>
      <w:r>
        <w:rPr>
          <w:rFonts w:hint="eastAsia" w:ascii="宋体" w:hAnsi="宋体" w:cs="宋体"/>
          <w:color w:val="auto"/>
          <w:highlight w:val="none"/>
        </w:rPr>
        <w:t xml:space="preserve">注：业主对合同有最终修改权</w:t>
      </w:r>
      <w:r/>
    </w:p>
    <w:p>
      <w:pPr>
        <w:jc w:val="center"/>
        <w:spacing w:before="120" w:after="120" w:line="0" w:lineRule="atLeast"/>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br w:type="page" w:clear="all"/>
      </w:r>
      <w:r>
        <w:rPr>
          <w:rFonts w:hint="eastAsia" w:ascii="宋体" w:hAnsi="宋体" w:cs="宋体"/>
          <w:b/>
          <w:color w:val="auto"/>
          <w:sz w:val="30"/>
          <w:szCs w:val="30"/>
          <w:highlight w:val="none"/>
        </w:rPr>
        <w:t xml:space="preserve">第</w:t>
      </w:r>
      <w:bookmarkEnd w:id="167"/>
      <w:r>
        <w:rPr>
          <w:rFonts w:hint="eastAsia" w:ascii="宋体" w:hAnsi="宋体" w:cs="宋体"/>
          <w:b/>
          <w:color w:val="auto"/>
          <w:sz w:val="30"/>
          <w:szCs w:val="30"/>
          <w:highlight w:val="none"/>
        </w:rPr>
        <w:t xml:space="preserve">四章 采购需求</w:t>
      </w:r>
      <w:bookmarkEnd w:id="168"/>
      <w:r/>
      <w:bookmarkEnd w:id="169"/>
      <w:r/>
      <w:bookmarkEnd w:id="170"/>
      <w:r/>
      <w:bookmarkStart w:id="173" w:name="_Toc49090575"/>
      <w:r/>
      <w:bookmarkStart w:id="174" w:name="_Toc26554093"/>
      <w:r/>
      <w:r/>
    </w:p>
    <w:p>
      <w:pPr>
        <w:ind w:firstLine="602"/>
        <w:rPr>
          <w:b/>
          <w:i/>
          <w:color w:val="auto"/>
          <w:sz w:val="30"/>
          <w:szCs w:val="32"/>
          <w:highlight w:val="none"/>
          <w:u w:val="single"/>
        </w:rPr>
      </w:pPr>
      <w:r>
        <w:rPr>
          <w:b/>
          <w:i/>
          <w:color w:val="auto"/>
          <w:sz w:val="30"/>
          <w:szCs w:val="32"/>
          <w:highlight w:val="none"/>
          <w:u w:val="singl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项目背景：因南通市通州区川姜镇人民政府管理需要，所管辖川姜镇安置小区合计192台电梯，部分电梯设备设备较陈旧，为确保电梯各功能运行正常，保障电梯安全，南通市通州区川姜镇人民政府拟通过推动发展电梯责任保险,优化发展“保险+服务”新模式,发挥保险的事故赔偿和风险预防作用,促进电梯使用管理和维保水平提升。现采用公开招标方式选聘第三方服务机构开展电梯“保险+服务”项目工作。</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、项目目标：保证设备安全正常运行；年审检验一次性合格率。</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、采购内容：本次采用保险+服务的模式 (全包模式)，包括但不限于包含电梯日常维保、维修年检、限速器检测、配件维修更换、物联网电梯运行状态监控，电梯事故善后赔偿等，简称“全包”(招标后政府不再产生任何电梯方面相关费用)。</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、保费：</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限价（人民币）</w:t>
      </w:r>
      <w:r>
        <w:rPr>
          <w:rFonts w:hint="eastAsia" w:ascii="宋体" w:hAnsi="宋体" w:cs="宋体"/>
          <w:color w:val="auto"/>
          <w:sz w:val="24"/>
          <w:highlight w:val="none"/>
          <w:u w:val="single"/>
        </w:rPr>
        <w:t xml:space="preserve">   综合单价5500元/台/年  </w:t>
      </w:r>
      <w:r/>
    </w:p>
    <w:tbl>
      <w:tblPr>
        <w:tblStyle w:val="879"/>
        <w:tblW w:w="9392" w:type="dxa"/>
        <w:tblInd w:w="-15" w:type="dxa"/>
        <w:tblLayout w:type="fixed"/>
        <w:tblCellMar>
          <w:left w:w="108" w:type="dxa"/>
          <w:top w:w="0" w:type="dxa"/>
          <w:right w:w="108" w:type="dxa"/>
          <w:bottom w:w="0" w:type="dxa"/>
        </w:tblCellMar>
        <w:tblLook w:val="04A0" w:firstRow="1" w:lastRow="0" w:firstColumn="1" w:lastColumn="0" w:noHBand="0" w:noVBand="1"/>
      </w:tblPr>
      <w:tblGrid>
        <w:gridCol w:w="1654"/>
        <w:gridCol w:w="6388"/>
        <w:gridCol w:w="1350"/>
      </w:tblGrid>
      <w:tr>
        <w:trPr>
          <w:trHeight w:val="270"/>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服务项目</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服务说明</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数量(台）</w:t>
            </w:r>
            <w:r/>
          </w:p>
        </w:tc>
      </w:tr>
      <w:tr>
        <w:trPr>
          <w:trHeight w:val="1038"/>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电梯维保费用损失补偿保险服务</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被保险电梯在日常使用过程中产生的日常维护保养费用</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192</w:t>
            </w:r>
            <w:r/>
          </w:p>
        </w:tc>
      </w:tr>
      <w:tr>
        <w:trPr>
          <w:trHeight w:val="495"/>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电梯维修费用损失补偿保险服务</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被保险电梯在日常使用过程中因存在安全事故隐患，或发生故障无法正常运行需要对电梯的零配件进行维修或更换的，被保险人为保证其安全运行所实际支出的电梯零部件维修费用、重置费用、人工费用等必要且合理的费用，保险人按照本保险合同的约定负责赔偿。</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192</w:t>
            </w:r>
            <w:r/>
          </w:p>
        </w:tc>
      </w:tr>
      <w:tr>
        <w:trPr>
          <w:trHeight w:val="890"/>
        </w:trPr>
        <w:tc>
          <w:tcPr>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年检服务</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按照安全技术规范要求在有效期届满前向相关机构提出定期检验的检验服务</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192</w:t>
            </w:r>
            <w:r/>
          </w:p>
        </w:tc>
      </w:tr>
    </w:tbl>
    <w:p>
      <w:pPr>
        <w:pStyle w:val="1157"/>
        <w:spacing w:line="360" w:lineRule="auto"/>
        <w:rPr>
          <w:rFonts w:hint="eastAsia" w:hAnsi="宋体" w:cs="宋体"/>
          <w:color w:val="auto"/>
          <w:sz w:val="24"/>
          <w:szCs w:val="24"/>
          <w:highlight w:val="none"/>
        </w:rPr>
      </w:pPr>
      <w:r>
        <w:rPr>
          <w:rFonts w:hint="eastAsia" w:hAnsi="宋体" w:cs="宋体"/>
          <w:color w:val="auto"/>
          <w:sz w:val="24"/>
          <w:szCs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（1）每年保费金额以单台电梯保费乘以实际投保数量为准。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szCs w:val="24"/>
          <w:highlight w:val="none"/>
        </w:rPr>
        <w:t xml:space="preserve">签订合同后，采购方按照合同金额一次性支付给成交单位。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投标人自行踏勘现场，评估了解电梯状况后进行合理报价，成交后不得以任何理由要求额外增加费用。</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4、保险期限为</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年。</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合同签订之日起（在预算保障的前提下，对于购买内容相对固定、连续性强、经费来源稳定、价格变化幅度小的政府购买服务项目。）供应商经采购方</w:t>
      </w:r>
      <w:r>
        <w:rPr>
          <w:rFonts w:hint="eastAsia" w:ascii="宋体" w:hAnsi="宋体" w:cs="宋体"/>
          <w:color w:val="auto"/>
          <w:sz w:val="24"/>
          <w:szCs w:val="24"/>
          <w:highlight w:val="none"/>
          <w:lang w:val="en-US" w:eastAsia="zh-CN"/>
        </w:rPr>
        <w:t xml:space="preserve">经</w:t>
      </w:r>
      <w:r>
        <w:rPr>
          <w:rFonts w:hint="eastAsia" w:ascii="宋体" w:hAnsi="宋体" w:cs="宋体"/>
          <w:color w:val="auto"/>
          <w:sz w:val="24"/>
          <w:szCs w:val="24"/>
          <w:highlight w:val="none"/>
        </w:rPr>
        <w:t xml:space="preserve">考核结果优级（90分以上），采购方可以续签合同，</w:t>
      </w:r>
      <w:r>
        <w:rPr>
          <w:rFonts w:hint="eastAsia" w:ascii="宋体" w:hAnsi="宋体" w:cs="宋体"/>
          <w:color w:val="auto"/>
          <w:sz w:val="24"/>
          <w:szCs w:val="24"/>
          <w:highlight w:val="none"/>
          <w:lang w:val="en-US" w:eastAsia="zh-CN"/>
        </w:rPr>
        <w:t xml:space="preserve">合同</w:t>
      </w:r>
      <w:r>
        <w:rPr>
          <w:rFonts w:hint="eastAsia" w:ascii="宋体" w:hAnsi="宋体" w:cs="宋体"/>
          <w:color w:val="auto"/>
          <w:sz w:val="24"/>
          <w:szCs w:val="24"/>
          <w:highlight w:val="none"/>
        </w:rPr>
        <w:t xml:space="preserve">一年一签，续签不超过二年。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5、保险条款名称应以向中国保监会报备的条款名称为准。</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6、实施要求：</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6.1电梯人员伤亡或财产损失补偿：</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（1）电梯安全责任保险：</w:t>
      </w:r>
      <w:r/>
    </w:p>
    <w:tbl>
      <w:tblPr>
        <w:tblStyle w:val="879"/>
        <w:tblW w:w="95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8052"/>
      </w:tblGrid>
      <w:tr>
        <w:trPr>
          <w:trHeight w:val="567"/>
        </w:trPr>
        <w:tc>
          <w:tcPr>
            <w:tcW w:w="1503" w:type="dxa"/>
            <w:vAlign w:val="center"/>
            <w:textDirection w:val="lrTb"/>
            <w:noWrap w:val="false"/>
          </w:tcPr>
          <w:p>
            <w:pPr>
              <w:spacing w:line="360" w:lineRule="auto"/>
              <w:tabs>
                <w:tab w:val="left" w:pos="2100" w:leader="none"/>
                <w:tab w:val="left" w:pos="8820" w:leader="none"/>
              </w:tabs>
              <w:rPr>
                <w:rFonts w:hint="eastAsia" w:ascii="宋体" w:hAnsi="宋体" w:cs="宋体"/>
                <w:b/>
                <w:color w:val="auto"/>
                <w:sz w:val="24"/>
                <w:highlight w:val="none"/>
              </w:rPr>
            </w:pPr>
            <w:r>
              <w:rPr>
                <w:rFonts w:hint="eastAsia" w:ascii="宋体" w:hAnsi="宋体" w:cs="宋体"/>
                <w:b/>
                <w:bCs/>
                <w:color w:val="auto"/>
                <w:sz w:val="24"/>
                <w:highlight w:val="none"/>
              </w:rPr>
              <w:t xml:space="preserve">保险范围</w:t>
            </w:r>
            <w:r/>
          </w:p>
        </w:tc>
        <w:tc>
          <w:tcPr>
            <w:tcW w:w="8052" w:type="dxa"/>
            <w:vAlign w:val="center"/>
            <w:textDirection w:val="lrTb"/>
            <w:noWrap w:val="false"/>
          </w:tcPr>
          <w:p>
            <w:pPr>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第一部分：电梯人员伤亡或财产损失补偿</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（1）人身伤亡或财产损失赔偿：因电梯发生意外事故，造成乘梯人员人身伤亡或财产损失，保险人按照保险合同约定负责赔偿。</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（2）人员滞留赔偿：因电梯发生意外事故，虽未造成人身伤亡但导致乘梯人员在电梯内滞留超过约定时间，保险人按照保险合同约定赔偿标准给予赔偿。</w:t>
            </w:r>
            <w:r/>
          </w:p>
          <w:p>
            <w:pPr>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第二部分：电梯养护费用</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维保+维修费用：按照电梯管理的相关规定，保险人承担日常维护保养费用、自然灾害或意外事故导致的电梯故障产生的维修费用，包括零配件费用和人工费、相关检测费用、现场安装调试达到正常可使用状态等产生的费用。</w:t>
            </w:r>
            <w:r/>
          </w:p>
        </w:tc>
      </w:tr>
      <w:tr>
        <w:trPr>
          <w:trHeight w:val="567"/>
        </w:trPr>
        <w:tc>
          <w:tcPr>
            <w:tcW w:w="1503" w:type="dxa"/>
            <w:vAlign w:val="center"/>
            <w:textDirection w:val="lrTb"/>
            <w:noWrap w:val="false"/>
          </w:tcPr>
          <w:p>
            <w:pPr>
              <w:spacing w:line="360" w:lineRule="auto"/>
              <w:tabs>
                <w:tab w:val="left" w:pos="2100" w:leader="none"/>
                <w:tab w:val="left" w:pos="8820" w:leader="none"/>
              </w:tabs>
              <w:rPr>
                <w:rFonts w:hint="eastAsia" w:ascii="宋体" w:hAnsi="宋体" w:cs="宋体"/>
                <w:b/>
                <w:color w:val="auto"/>
                <w:sz w:val="24"/>
                <w:highlight w:val="none"/>
              </w:rPr>
            </w:pPr>
            <w:r>
              <w:rPr>
                <w:rFonts w:hint="eastAsia" w:ascii="宋体" w:hAnsi="宋体" w:cs="宋体"/>
                <w:b/>
                <w:bCs/>
                <w:color w:val="auto"/>
                <w:sz w:val="24"/>
                <w:highlight w:val="none"/>
              </w:rPr>
              <w:t xml:space="preserve">赔偿限额</w:t>
            </w:r>
            <w:r/>
          </w:p>
        </w:tc>
        <w:tc>
          <w:tcPr>
            <w:tcW w:w="8052" w:type="dxa"/>
            <w:vAlign w:val="center"/>
            <w:textDirection w:val="lrTb"/>
            <w:noWrap w:val="false"/>
          </w:tcPr>
          <w:p>
            <w:pPr>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第一部分：第三者责任</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（1）电梯人员伤亡或财产损失补偿</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每梯每年累计赔偿限额800万元</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每人身故及伤残赔偿限额80万元</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每人意外医疗费用赔偿限额8万元</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每人财产损失赔偿限额2万元</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（2）人员滞留赔偿：</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每人滞留责任赔偿限额200元</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电梯因故障或事故，导致梯内人员滞留120分钟及以上，视为滞留责任事故发生。</w:t>
            </w:r>
            <w:r/>
          </w:p>
          <w:p>
            <w:pPr>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第二部分：电梯养护费用</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（1）维保费用：按本项目维保服务合同标准列支</w:t>
            </w:r>
            <w:r/>
          </w:p>
          <w:p>
            <w:pPr>
              <w:ind w:firstLine="480"/>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（2）维修费用限额：据实列支</w:t>
            </w:r>
            <w:r/>
          </w:p>
        </w:tc>
      </w:tr>
      <w:tr>
        <w:trPr>
          <w:trHeight w:val="567"/>
        </w:trPr>
        <w:tc>
          <w:tcPr>
            <w:tcW w:w="1503" w:type="dxa"/>
            <w:vAlign w:val="center"/>
            <w:textDirection w:val="lrTb"/>
            <w:noWrap w:val="false"/>
          </w:tcPr>
          <w:p>
            <w:pPr>
              <w:spacing w:line="360" w:lineRule="auto"/>
              <w:tabs>
                <w:tab w:val="left" w:pos="2100" w:leader="none"/>
                <w:tab w:val="left" w:pos="8820" w:leader="none"/>
              </w:tabs>
              <w:rPr>
                <w:rFonts w:hint="eastAsia" w:ascii="宋体" w:hAnsi="宋体" w:cs="宋体"/>
                <w:b/>
                <w:color w:val="auto"/>
                <w:sz w:val="24"/>
                <w:highlight w:val="none"/>
              </w:rPr>
            </w:pPr>
            <w:r>
              <w:rPr>
                <w:rFonts w:hint="eastAsia" w:ascii="宋体" w:hAnsi="宋体" w:cs="宋体"/>
                <w:b/>
                <w:bCs/>
                <w:color w:val="auto"/>
                <w:sz w:val="24"/>
                <w:highlight w:val="none"/>
              </w:rPr>
              <w:t xml:space="preserve">免赔额</w:t>
            </w:r>
            <w:r/>
          </w:p>
        </w:tc>
        <w:tc>
          <w:tcPr>
            <w:tcW w:w="8052" w:type="dxa"/>
            <w:vAlign w:val="center"/>
            <w:textDirection w:val="lrTb"/>
            <w:noWrap w:val="false"/>
          </w:tcPr>
          <w:p>
            <w:pPr>
              <w:spacing w:line="360" w:lineRule="auto"/>
              <w:tabs>
                <w:tab w:val="left" w:pos="96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第三者责任部分：医疗费每次事故绝对免赔200元。</w:t>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（2）下列原因造成的损失不在保险责任范围内，但承保人应对其造成的故障或损坏按规定时间及时响应维修，确保正常使用。除不可抗力外、其相关损失及费用优先向第三方追偿。其中：</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由于人为损坏造成的材料和费用；</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因自然灾害、战争等不可抗力造成的所有材料与费用；</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由于电梯机房、井道、底坑等区域非承保单位管理原因进水导致损坏、失效的电梯材料和费用；</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将原电梯更新为其他电梯的设备和费用。</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6.2维保维修保险服务：</w:t>
      </w:r>
      <w:r/>
    </w:p>
    <w:p>
      <w:pPr>
        <w:pStyle w:val="1157"/>
        <w:ind w:firstLine="480"/>
        <w:spacing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（1）确定电梯维保服务方：</w:t>
      </w:r>
      <w:r/>
    </w:p>
    <w:p>
      <w:pPr>
        <w:pStyle w:val="1157"/>
        <w:ind w:firstLine="480"/>
        <w:spacing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电梯维保服务方应具有相应资质，可优先选择原电梯产品制造单位或经其授权的维保单位；如有特殊情况，需经采购人同意后方可选择其他具有相应资质的服务方。合同履行期限，各方均应接受和服从采购人管理，否则采购人有权按照合同文件及相关规定进行相应处罚。</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经投保人许可同意的电梯维保服务的维保公司，同采购人及成交供应商签订协议后，成为电梯维保服务方（以下简称维保服务方），接受采购人及成交供应商的共同管理考核；由中标供应商按考核结果支付相关费用。</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维保服务方管理按照南通市有关规定执行。加装物联网监控设备的电梯维保人员在信息平台上传实时维保、管理情况，由采购人、成交供应商共同监督电梯维保。</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（2）维保服务团队：</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维保服务团队不少于3人，按照各设备维保周期的要求进行维保服务。服务人员必须是维保服务方的正式在职员工，并持有《中华人民共和国特种设备作业人员证》。</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（3）制定维保服务内容：</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成交供应商根据《国务院第549号令》、《电梯维护保养规则》TSG T5001-2009、《电梯制造与安装安全规范》（GB 7588）的相关规定，制定维保服务方案，并安排维保服务方按照方案为区域内投保电梯提供日常维保服务，提供的服务及更换的零配件须满足国家现行的电梯产品的标准和规范要求。</w:t>
      </w:r>
      <w:r/>
    </w:p>
    <w:p>
      <w:pPr>
        <w:pStyle w:val="1157"/>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（4）日常维护保养要求如下，同时应满足国家相关规范及行业主管部门要求：</w:t>
      </w:r>
      <w:r/>
    </w:p>
    <w:tbl>
      <w:tblPr>
        <w:tblStyle w:val="879"/>
        <w:tblW w:w="8818" w:type="dxa"/>
        <w:tblInd w:w="-284" w:type="dxa"/>
        <w:tblLayout w:type="fixed"/>
        <w:tblCellMar>
          <w:left w:w="108" w:type="dxa"/>
          <w:top w:w="0" w:type="dxa"/>
          <w:right w:w="108" w:type="dxa"/>
          <w:bottom w:w="0" w:type="dxa"/>
        </w:tblCellMar>
        <w:tblLook w:val="04A0" w:firstRow="1" w:lastRow="0" w:firstColumn="1" w:lastColumn="0" w:noHBand="0" w:noVBand="1"/>
      </w:tblPr>
      <w:tblGrid>
        <w:gridCol w:w="738"/>
        <w:gridCol w:w="3402"/>
        <w:gridCol w:w="3686"/>
        <w:gridCol w:w="992"/>
      </w:tblGrid>
      <w:tr>
        <w:trPr>
          <w:trHeight w:val="776"/>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保养项目</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保养要求</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每次保养周期</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机房、滑轮间环境</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干净、整洁，门窗完好，照明正常</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手动紧急操作装置</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齐全，放置在指定的位置</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曳引机</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运行时无异常振动和异常声响</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制动器各销轴部位</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润滑，动作灵活</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制动器间隙</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打开时制动衬与制动轮无摩擦，间隙值符合制造单位要求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制动器作为轿厢意外移动保护装置停子系统时的自监测</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制动力人工方式检测符合使用维护说明书要求；制动力自监测系统有记录</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编码器</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安装牢固，干净</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限速器各销轴部位</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润滑，转动灵活，电气开关正常有效</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层门和轿门旁路装置</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工作正常</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紧急电动运行</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工作正常</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轿顶</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干净整洁，防护栏安全可靠</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轿顶检修开关、急停开关</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功能正常</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导靴上油杯</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无泄漏，油量适宜，吸油毛毡齐全</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对重块及其压板</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对重块无松动，其压板紧固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井道照明齐全</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16</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轿厢照明、风扇、应急照明</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轿厢检修开关、急停开关</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18</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轿内报警装置、对讲系统</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19</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轿内显示、指令按钮、IC卡系统</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齐全，正常有效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20</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轿门防撞击保护装置（安全触板、光幕、光电）</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21</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轿门门锁电气触点</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清洁，触点接触良好，接线可靠</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22</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轿门运行</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开启和关闭工作正常</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23</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轿厢平层精度</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符合标准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429"/>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24</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层站召唤、层楼显示</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齐全，正常有效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层门地坎</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清洁</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26</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层门自动关门装置</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27</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层门门锁自动复位</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用钥匙打开手动开锁装置释放后，层门门锁能自动复位</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28</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层门门锁电气触点</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清洁，触点接触良好，接线可靠</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29</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层门锁紧元件啮合长度</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不小于7mm</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30</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底坑环境</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干净，无积水、渗水，照明正常</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31</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底坑急停开关</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15天</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32</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减速机润滑油</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油量适宜，除蜗杆伸出端外均无渗漏</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76"/>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33</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制动衬</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清洁，磨损量不超过制造单位要求</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34</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位置脉冲发生器</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77"/>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选层器动静触点</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无烧蚀，清洁</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36</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曳引轮槽及曳引钢丝绳</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干净，无严重油腻，钢丝绳张力均匀，符合制造单位要求</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37</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限速器轮槽及限速器钢丝绳</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干净，无严重油腻</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1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38</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靴衬、滚轮</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干净，其磨损量不超过制造单位要求</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39</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验证轿门关闭的电气安全装置</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40</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轿门、层门系统中传动钢丝绳、链条、胶带</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清洁，其松紧力调整符合制造单位要求</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41</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层门门导靴</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磨损量不超过制造单位要求</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42</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消防开关</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43</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耗能缓冲器</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柱塞无锈蚀，油量适宜，电气安全装置正常有效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44</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限速器张紧轮装置和电气安全装置</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电动机与减速机联轴器螺栓</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无松动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46</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曳引轮、导向轮轴承部</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无异常声，无振动，润滑良好</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47</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曳引轮槽</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磨损量符合制造单位要求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48</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制动器上检测开关</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正常有效，制动器动作可靠</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456"/>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49</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控制柜内各接线端子</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各线路紧固、整齐，线号齐全清晰</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50</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控制柜各仪表</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显示正确</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51</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井道、对重、轿顶各反绳轮轴承部</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无异常声，无振动，润滑良好</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52</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曳引绳、补偿绳</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磨损量、断丝数不超过要求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53</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曳引绳绳头组合</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螺母无松动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限速器钢丝绳</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磨损量、断丝数不超过制造单位要求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57"/>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55</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层门、轿门门扇</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门扇各相关间隙符合标准</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56</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对重缓冲距</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符合标准</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57</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补偿链（绳）与轿厢、对重接合处</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固定牢固，无松动</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249"/>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58</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上下极限开关</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工作正常有效</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59</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减速机润滑油</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按照制造单位要求适时更换，保证油质符合要求</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60</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控制柜接触器，继电器触点</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接触良好</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48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61</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制动器铁芯（柱塞）</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进行清洁、润滑、检查，磨损量符合制造单位要求</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62</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制动器制动弹簧压缩量</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符合制造单位要求，保持足够的制动力</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63</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导电回路绝缘性能测试</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符合标准</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64</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限速器安全钳联动试验（每2年进行一次限速器动作速度校验）</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工作正常</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65</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上行超速保护装置动作试验</w:t>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工作正常</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66</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轿顶、轿厢架、轿门及其附件安装螺栓</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紧固</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67</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轿厢和对重的导轨支架</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固定无松动</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6"/>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68</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轿厢和对重的导轨</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清洁，压板牢固</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69</w:t>
            </w:r>
            <w:r/>
          </w:p>
        </w:tc>
        <w:tc>
          <w:tcPr>
            <w:tcBorders>
              <w:top w:val="none" w:color="000000" w:sz="4" w:space="0"/>
              <w:left w:val="non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随行电缆</w:t>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无损伤</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70</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层门装置和地坎</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无影响正常使用的变形，各安装螺栓紧固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71</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轿厢称重装置</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准确有效</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72</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安全钳钳座</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固定，无松动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73</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轿底各安装螺栓</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紧固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r>
        <w:trPr>
          <w:trHeight w:val="308"/>
        </w:trPr>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74</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缓冲器</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固定，无松动</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12个月</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供应商的维保单位应根据电梯情况制定年度保养计划提交采购人。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供应商的维保单位需配合采购人及保险公司对电梯涉及材料、工具、日常工作的检查。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维保单位须在每月25日前，向采购人提交次月维保计划，月维保计划包括：维保时间、维保项目、维保范围、参加人员名单。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维保单位在维保作业时，必须按要求在一楼及地下室及相关区域做好保养专用警示牌，如有必要，需放置警示护栏及标识。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维保单位保养人员在进入机房、轿顶或井道作业完毕后，必须锁好门栓。</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在合同履行期间，因维修、维保作业而与此相关的导致各类安全意外事故责任均由成交供应商及维保单位自行承担全部责任。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（7）维保服务过程监督：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供应商通过自有的人员和平台对电梯维保和维修服务过程进行监控，对于服务过程中发现的问题，提出整改要求，监督维保单位及时整改，并定期向采购方通报。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（8）安全宣传服务：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险公司可根据需要制定电梯安全知识宣传折页、宣传海报，在装设电梯的场所进行投放、张贴。向公众宣传电梯安全使用知识，并定期开展防灾安全救援演练。并定期组织投保单位安全员进行电梯安全运行培训，减少电梯正常使用过程中发生意外事故的概率。</w:t>
      </w:r>
      <w:r/>
    </w:p>
    <w:p>
      <w:pPr>
        <w:numPr>
          <w:ilvl w:val="0"/>
          <w:numId w:val="12"/>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制定服务结果评定标准。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二、有关要求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项目实施质量必须严格按照国家规范及江苏省、南通市相应地方规范、招标文件的技术规范的有关要求执行，如果在合同履行过程中有新的国家或行业（部）规范和标准出台的，则成交供应商应确保其合同产品达到并符合新的国家或行业（部）规范和标准，因此而增加的费用及风险由中标供应商自行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2、成交供应商在项目实施期间应无条件的接受采购人的监督管理，对采购人提出的质量问题应当在采购人指定的期限内整改，整改完毕后通知采购人检查验收，合格后书面报送采购人备案。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3、与本次采购项目有关的质量、安全问题均由成交供应商负责，相关的人员、财产责任风险均由成交供应商全部承担。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所投产品如属于国家认证认可监督管理委员会现行《强制性产品认证目录描述与界定表》管理的强制性认证产品，成交供应商在提请采购人验收时须提供上述产品的对应证书，否则采购人有权不予验收，且成交供应商应承担由此而引起的一切法律责任和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6、派驻人员要求如下：</w:t>
      </w:r>
      <w:r/>
    </w:p>
    <w:p>
      <w:pPr>
        <w:ind w:firstLine="360"/>
        <w:jc w:val="left"/>
        <w:spacing w:line="360" w:lineRule="auto"/>
        <w:widowControl/>
        <w:rPr>
          <w:rFonts w:hint="eastAsia" w:ascii="宋体" w:hAnsi="宋体" w:cs="宋体"/>
          <w:color w:val="auto"/>
          <w:sz w:val="24"/>
          <w:highlight w:val="none"/>
          <w:lang w:bidi="en-US"/>
        </w:rPr>
      </w:pPr>
      <w:r>
        <w:rPr>
          <w:rFonts w:hint="eastAsia" w:ascii="宋体" w:hAnsi="宋体" w:cs="宋体"/>
          <w:color w:val="auto"/>
          <w:sz w:val="24"/>
          <w:highlight w:val="none"/>
          <w:lang w:bidi="en-US"/>
        </w:rPr>
        <w:t xml:space="preserve">1）原则上，成交供应商应派至少1名技术人员对甲方的每台电梯按照第二条保养范围进行全面保养，工作时须穿着特定的服装或可显著识别的安全标识，能清楚地表明其电梯维保人员身份。</w:t>
      </w:r>
      <w:r/>
    </w:p>
    <w:p>
      <w:pPr>
        <w:ind w:firstLine="360"/>
        <w:jc w:val="left"/>
        <w:spacing w:line="360" w:lineRule="auto"/>
        <w:widowControl/>
        <w:rPr>
          <w:rFonts w:hint="eastAsia" w:ascii="宋体" w:hAnsi="宋体" w:cs="宋体"/>
          <w:color w:val="auto"/>
          <w:sz w:val="24"/>
          <w:highlight w:val="none"/>
          <w:lang w:bidi="en-US"/>
        </w:rPr>
      </w:pPr>
      <w:r>
        <w:rPr>
          <w:rFonts w:hint="eastAsia" w:ascii="宋体" w:hAnsi="宋体" w:cs="宋体"/>
          <w:color w:val="auto"/>
          <w:sz w:val="24"/>
          <w:highlight w:val="none"/>
          <w:lang w:bidi="en-US"/>
        </w:rPr>
        <w:t xml:space="preserve">2）成交供应商需安排具备维修本协议涉及电梯的技术能力的维保人员在</w:t>
      </w:r>
      <w:r>
        <w:rPr>
          <w:rFonts w:hint="eastAsia" w:ascii="宋体" w:hAnsi="宋体" w:cs="宋体"/>
          <w:color w:val="auto"/>
          <w:sz w:val="24"/>
          <w:highlight w:val="none"/>
        </w:rPr>
        <w:t xml:space="preserve">本协议涉及</w:t>
      </w:r>
      <w:r>
        <w:rPr>
          <w:rFonts w:hint="eastAsia" w:ascii="宋体" w:hAnsi="宋体" w:cs="宋体"/>
          <w:color w:val="auto"/>
          <w:sz w:val="24"/>
          <w:highlight w:val="none"/>
          <w:lang w:bidi="en-US"/>
        </w:rPr>
        <w:t xml:space="preserve">项目常驻，电梯发生故障时中标人需安排人员及时赶赴现场处理。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bidi="en-US"/>
        </w:rPr>
        <w:t xml:space="preserve">3）成交供应商</w:t>
      </w:r>
      <w:r>
        <w:rPr>
          <w:rFonts w:hint="eastAsia" w:ascii="宋体" w:hAnsi="宋体" w:cs="宋体"/>
          <w:color w:val="auto"/>
          <w:sz w:val="24"/>
          <w:highlight w:val="none"/>
        </w:rPr>
        <w:t xml:space="preserve">对合同范围内电梯提供24小时全天候的紧急故障处理，项目业主发现电梯出现故障时，应立即通知</w:t>
      </w:r>
      <w:r>
        <w:rPr>
          <w:rFonts w:hint="eastAsia" w:ascii="宋体" w:hAnsi="宋体" w:cs="宋体"/>
          <w:color w:val="auto"/>
          <w:sz w:val="24"/>
          <w:highlight w:val="none"/>
          <w:lang w:bidi="en-US"/>
        </w:rPr>
        <w:t xml:space="preserve">成交供应商</w:t>
      </w:r>
      <w:r>
        <w:rPr>
          <w:rFonts w:hint="eastAsia" w:ascii="宋体" w:hAnsi="宋体" w:cs="宋体"/>
          <w:color w:val="auto"/>
          <w:sz w:val="24"/>
          <w:highlight w:val="none"/>
        </w:rPr>
        <w:t xml:space="preserve">，</w:t>
      </w:r>
      <w:r>
        <w:rPr>
          <w:rFonts w:hint="eastAsia" w:ascii="宋体" w:hAnsi="宋体" w:cs="宋体"/>
          <w:color w:val="auto"/>
          <w:sz w:val="24"/>
          <w:highlight w:val="none"/>
          <w:lang w:bidi="en-US"/>
        </w:rPr>
        <w:t xml:space="preserve">成交供应商</w:t>
      </w:r>
      <w:r>
        <w:rPr>
          <w:rFonts w:hint="eastAsia" w:ascii="宋体" w:hAnsi="宋体" w:cs="宋体"/>
          <w:color w:val="auto"/>
          <w:sz w:val="24"/>
          <w:highlight w:val="none"/>
        </w:rPr>
        <w:t xml:space="preserve">须在接到通知后30分钟内派员到达现场进行处理。维保人员到现场处理后发现无法判断或者处理不了的，故障发生2小时内升级到维保机构现场技术人员，故障发生6小时人保技术支持介入并持续跟进电梯故障，故障发生48小时若还是无法判断故障根源，升级上报至人保技术负责人与维保机构技术负责人，直至故障彻底解决。</w:t>
      </w:r>
      <w:r/>
    </w:p>
    <w:p>
      <w:pPr>
        <w:ind w:firstLine="42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7、工作人数安排、工作要求和工作质量标准：</w:t>
      </w:r>
      <w:r/>
    </w:p>
    <w:p>
      <w:pPr>
        <w:ind w:firstLine="420"/>
        <w:spacing w:line="360" w:lineRule="auto"/>
        <w:rPr>
          <w:rFonts w:hint="eastAsia" w:ascii="宋体" w:hAnsi="宋体" w:cs="宋体"/>
          <w:bCs/>
          <w:color w:val="auto"/>
          <w:sz w:val="24"/>
          <w:highlight w:val="none"/>
        </w:rPr>
      </w:pPr>
      <w:r>
        <w:rPr>
          <w:rFonts w:hint="eastAsia" w:ascii="宋体" w:hAnsi="宋体" w:cs="宋体"/>
          <w:color w:val="auto"/>
          <w:sz w:val="24"/>
          <w:highlight w:val="none"/>
          <w:lang w:bidi="en-US"/>
        </w:rPr>
        <w:t xml:space="preserve">1）成交供应商</w:t>
      </w:r>
      <w:r>
        <w:rPr>
          <w:rFonts w:hint="eastAsia" w:ascii="宋体" w:hAnsi="宋体" w:cs="宋体"/>
          <w:color w:val="auto"/>
          <w:sz w:val="24"/>
          <w:highlight w:val="none"/>
        </w:rPr>
        <w:t xml:space="preserve">保证自接到采购人书面通知进场之日起，需安排专业人员对所承接的电梯进行全面检查；采购人需安排专业工程师及原维保单位进行协助，形成《电梯维保三方交接记录表》，针对移交问题清单，由采购人协助原维保单位于</w:t>
      </w:r>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个工作日内完成整改；后续出现移交清单以外的问题，均由中标人承担；若中标人在移交过程中未发现但后续出现的问题，均由中标人全权承担整改费用及损失。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bidi="en-US"/>
        </w:rPr>
        <w:t xml:space="preserve">2）</w:t>
      </w:r>
      <w:r>
        <w:rPr>
          <w:rFonts w:hint="eastAsia" w:ascii="宋体" w:hAnsi="宋体" w:cs="宋体"/>
          <w:color w:val="auto"/>
          <w:sz w:val="24"/>
          <w:highlight w:val="none"/>
        </w:rPr>
        <w:t xml:space="preserve">本合同约定保养期内，</w:t>
      </w:r>
      <w:r>
        <w:rPr>
          <w:rFonts w:hint="eastAsia" w:ascii="宋体" w:hAnsi="宋体" w:cs="宋体"/>
          <w:color w:val="auto"/>
          <w:sz w:val="24"/>
          <w:highlight w:val="none"/>
          <w:lang w:bidi="en-US"/>
        </w:rPr>
        <w:t xml:space="preserve">成交供应商</w:t>
      </w:r>
      <w:r>
        <w:rPr>
          <w:rFonts w:hint="eastAsia" w:ascii="宋体" w:hAnsi="宋体" w:cs="宋体"/>
          <w:color w:val="auto"/>
          <w:sz w:val="24"/>
          <w:highlight w:val="none"/>
        </w:rPr>
        <w:t xml:space="preserve">对所服务的项目派出至少</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名专业保养人员按本地有关电梯行业的保养规范，每月每台2 次(至少每15天一次)定期对本协议涉及电梯按保养计划进行保养，并固定至少派</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名专业电梯</w:t>
      </w:r>
      <w:r>
        <w:rPr>
          <w:rFonts w:hint="eastAsia" w:ascii="宋体" w:hAnsi="宋体" w:cs="宋体"/>
          <w:color w:val="auto"/>
          <w:sz w:val="24"/>
          <w:highlight w:val="none"/>
          <w:lang w:bidi="en-US"/>
        </w:rPr>
        <w:t xml:space="preserve">维保</w:t>
      </w:r>
      <w:r>
        <w:rPr>
          <w:rFonts w:hint="eastAsia" w:ascii="宋体" w:hAnsi="宋体" w:cs="宋体"/>
          <w:color w:val="auto"/>
          <w:sz w:val="24"/>
          <w:highlight w:val="none"/>
        </w:rPr>
        <w:t xml:space="preserve">人员常驻现场，确保本协议涉及电梯系统运行正常，逐台电梯做好保养记录，建档备查。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bidi="en-US"/>
        </w:rPr>
        <w:t xml:space="preserve">3）成交供应商</w:t>
      </w:r>
      <w:r>
        <w:rPr>
          <w:rFonts w:hint="eastAsia" w:ascii="宋体" w:hAnsi="宋体" w:cs="宋体"/>
          <w:color w:val="auto"/>
          <w:sz w:val="24"/>
          <w:highlight w:val="none"/>
        </w:rPr>
        <w:t xml:space="preserve">应对采购人现场员工每季度组织最少一次电梯知识技能培训，并提供培训记录。</w:t>
      </w:r>
      <w:r/>
    </w:p>
    <w:p>
      <w:pPr>
        <w:ind w:firstLine="480"/>
        <w:rPr>
          <w:rFonts w:hint="eastAsia" w:ascii="宋体" w:hAnsi="宋体"/>
          <w:b/>
          <w:color w:val="auto"/>
          <w:sz w:val="28"/>
          <w:szCs w:val="28"/>
          <w:highlight w:val="none"/>
        </w:rPr>
      </w:pPr>
      <w:r>
        <w:rPr>
          <w:rFonts w:hint="eastAsia" w:ascii="宋体" w:hAnsi="宋体" w:cs="宋体"/>
          <w:color w:val="auto"/>
          <w:sz w:val="24"/>
          <w:highlight w:val="none"/>
          <w:lang w:bidi="en-US"/>
        </w:rPr>
        <w:t xml:space="preserve">4）</w:t>
      </w:r>
      <w:r>
        <w:rPr>
          <w:rFonts w:hint="eastAsia" w:ascii="宋体" w:hAnsi="宋体" w:cs="宋体"/>
          <w:color w:val="auto"/>
          <w:sz w:val="24"/>
          <w:highlight w:val="none"/>
        </w:rPr>
        <w:t xml:space="preserve">遇节假日</w:t>
      </w:r>
      <w:r>
        <w:rPr>
          <w:rFonts w:hint="eastAsia" w:ascii="宋体" w:hAnsi="宋体" w:cs="宋体"/>
          <w:color w:val="auto"/>
          <w:sz w:val="24"/>
          <w:highlight w:val="none"/>
          <w:lang w:bidi="en-US"/>
        </w:rPr>
        <w:t xml:space="preserve">成交供应商</w:t>
      </w:r>
      <w:r>
        <w:rPr>
          <w:rFonts w:hint="eastAsia" w:ascii="宋体" w:hAnsi="宋体" w:cs="宋体"/>
          <w:color w:val="auto"/>
          <w:sz w:val="24"/>
          <w:highlight w:val="none"/>
        </w:rPr>
        <w:t xml:space="preserve">需确保至少一名值班人员，并报采购人备案。</w:t>
      </w:r>
      <w:r/>
    </w:p>
    <w:p>
      <w:pPr>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keepNext/>
        <w:rPr>
          <w:rFonts w:hint="eastAsia" w:ascii="宋体" w:hAnsi="宋体" w:cs="宋体"/>
          <w:b/>
          <w:color w:val="auto"/>
          <w:sz w:val="32"/>
          <w:szCs w:val="32"/>
          <w:highlight w:val="none"/>
        </w:rPr>
        <w:outlineLvl w:val="0"/>
      </w:pPr>
      <w:r/>
      <w:bookmarkStart w:id="175" w:name="_Toc120614281"/>
      <w:r>
        <w:rPr>
          <w:rFonts w:hint="eastAsia" w:ascii="宋体" w:hAnsi="宋体" w:cs="宋体"/>
          <w:b/>
          <w:color w:val="auto"/>
          <w:sz w:val="32"/>
          <w:szCs w:val="32"/>
          <w:highlight w:val="none"/>
        </w:rPr>
        <w:br w:type="column"/>
      </w:r>
      <w:r>
        <w:rPr>
          <w:rFonts w:hint="eastAsia" w:ascii="宋体" w:hAnsi="宋体" w:cs="宋体"/>
          <w:b/>
          <w:color w:val="auto"/>
          <w:sz w:val="32"/>
          <w:szCs w:val="32"/>
          <w:highlight w:val="none"/>
        </w:rPr>
        <w:t xml:space="preserve">第五章  评审方法与评审标准</w:t>
      </w:r>
      <w:r/>
    </w:p>
    <w:p>
      <w:pPr>
        <w:rPr>
          <w:color w:val="auto"/>
          <w:szCs w:val="21"/>
          <w:highlight w:val="none"/>
        </w:rPr>
      </w:pPr>
      <w:r>
        <w:rPr>
          <w:color w:val="auto"/>
          <w:szCs w:val="21"/>
          <w:highlight w:val="none"/>
        </w:rPr>
      </w:r>
      <w:r/>
    </w:p>
    <w:p>
      <w:pPr>
        <w:ind w:right="210" w:firstLine="560"/>
        <w:spacing w:line="52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一、采购人组织磋商活动</w:t>
      </w:r>
      <w:r/>
    </w:p>
    <w:p>
      <w:pPr>
        <w:ind w:firstLine="482"/>
        <w:spacing w:line="520" w:lineRule="exact"/>
        <w:rPr>
          <w:rFonts w:hint="eastAsia" w:ascii="宋体" w:hAnsi="宋体" w:cs="宋体"/>
          <w:color w:val="auto"/>
          <w:sz w:val="24"/>
          <w:szCs w:val="24"/>
          <w:highlight w:val="none"/>
          <w:lang w:val="zh-CN"/>
        </w:rPr>
      </w:pPr>
      <w:r>
        <w:rPr>
          <w:rFonts w:ascii="宋体" w:hAnsi="宋体" w:cs="宋体"/>
          <w:b/>
          <w:color w:val="auto"/>
          <w:sz w:val="24"/>
          <w:szCs w:val="24"/>
          <w:highlight w:val="none"/>
          <w:lang w:val="zh-CN"/>
        </w:rPr>
        <w:t xml:space="preserve">1、成立竞争性磋商小组。</w:t>
      </w:r>
      <w:r>
        <w:rPr>
          <w:rFonts w:ascii="宋体" w:hAnsi="宋体" w:cs="宋体"/>
          <w:color w:val="auto"/>
          <w:sz w:val="24"/>
          <w:szCs w:val="24"/>
          <w:highlight w:val="none"/>
          <w:lang w:val="zh-CN"/>
        </w:rPr>
        <w:t xml:space="preserve">竞争性磋商小组由采购人代表和评审专家共</w:t>
      </w:r>
      <w:r>
        <w:rPr>
          <w:rFonts w:ascii="宋体" w:hAnsi="宋体" w:cs="宋体"/>
          <w:color w:val="auto"/>
          <w:sz w:val="24"/>
          <w:szCs w:val="24"/>
          <w:highlight w:val="none"/>
        </w:rPr>
        <w:t xml:space="preserve">3</w:t>
      </w:r>
      <w:r>
        <w:rPr>
          <w:rFonts w:ascii="宋体" w:hAnsi="宋体" w:cs="宋体"/>
          <w:color w:val="auto"/>
          <w:sz w:val="24"/>
          <w:szCs w:val="24"/>
          <w:highlight w:val="none"/>
          <w:lang w:val="zh-CN"/>
        </w:rPr>
        <w:t xml:space="preserve">人以上单数组成，其中评审专家人数不得少于竞争性磋商小组成员总数的2/3。</w:t>
      </w:r>
      <w:r/>
    </w:p>
    <w:p>
      <w:pPr>
        <w:ind w:firstLine="480"/>
        <w:spacing w:line="520" w:lineRule="exact"/>
        <w:rPr>
          <w:rFonts w:hint="eastAsia" w:ascii="宋体" w:hAnsi="宋体" w:cs="宋体"/>
          <w:color w:val="auto"/>
          <w:sz w:val="24"/>
          <w:szCs w:val="24"/>
          <w:highlight w:val="none"/>
          <w:lang w:val="zh-CN"/>
        </w:rPr>
      </w:pPr>
      <w:r>
        <w:rPr>
          <w:rFonts w:ascii="宋体" w:hAnsi="宋体" w:cs="宋体"/>
          <w:color w:val="auto"/>
          <w:sz w:val="24"/>
          <w:szCs w:val="24"/>
          <w:highlight w:val="none"/>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p>
    <w:p>
      <w:pPr>
        <w:ind w:firstLine="482"/>
        <w:spacing w:line="52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2、竞争性磋商小组的职责：</w:t>
      </w:r>
      <w:r/>
    </w:p>
    <w:p>
      <w:pPr>
        <w:ind w:firstLine="480"/>
        <w:spacing w:line="520" w:lineRule="exact"/>
        <w:rPr>
          <w:rFonts w:hint="eastAsia" w:ascii="宋体" w:hAnsi="宋体" w:cs="宋体"/>
          <w:color w:val="auto"/>
          <w:sz w:val="24"/>
          <w:szCs w:val="24"/>
          <w:highlight w:val="none"/>
          <w:lang w:val="zh-CN"/>
        </w:rPr>
      </w:pPr>
      <w:r>
        <w:rPr>
          <w:rFonts w:ascii="宋体" w:hAnsi="宋体" w:cs="宋体"/>
          <w:color w:val="auto"/>
          <w:sz w:val="24"/>
          <w:szCs w:val="24"/>
          <w:highlight w:val="none"/>
          <w:lang w:val="zh-CN"/>
        </w:rPr>
        <w:t xml:space="preserve">评审专家应当遵守评审工作纪律，不得泄露评审情况和评审中获悉的商业秘密。</w:t>
      </w:r>
      <w:r/>
    </w:p>
    <w:p>
      <w:pPr>
        <w:ind w:firstLine="480"/>
        <w:spacing w:line="520" w:lineRule="exact"/>
        <w:rPr>
          <w:rFonts w:hint="eastAsia"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磋商小组在评审过程中发现供应商有行贿、提供虚假材料或者串通等违法行为的，应当及时向财政部门报告。</w:t>
      </w:r>
      <w:r/>
    </w:p>
    <w:p>
      <w:pPr>
        <w:ind w:firstLine="480"/>
        <w:spacing w:line="520" w:lineRule="exact"/>
        <w:rPr>
          <w:rFonts w:hint="eastAsia" w:ascii="宋体" w:hAnsi="宋体" w:cs="宋体"/>
          <w:color w:val="auto"/>
          <w:sz w:val="24"/>
          <w:szCs w:val="24"/>
          <w:highlight w:val="none"/>
        </w:rPr>
      </w:pPr>
      <w:r>
        <w:rPr>
          <w:rFonts w:ascii="宋体" w:hAnsi="宋体" w:cs="宋体"/>
          <w:color w:val="auto"/>
          <w:sz w:val="24"/>
          <w:szCs w:val="24"/>
          <w:highlight w:val="none"/>
          <w:lang w:val="zh-CN"/>
        </w:rPr>
        <w:t xml:space="preserve">评审专家在评审过程中受到非法干涉的，应当及时向财政、监察等部门举报。</w:t>
      </w:r>
      <w:r/>
    </w:p>
    <w:p>
      <w:pPr>
        <w:ind w:firstLine="480"/>
        <w:spacing w:line="520" w:lineRule="exact"/>
        <w:rPr>
          <w:rFonts w:hint="eastAsia"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520" w:lineRule="exact"/>
        <w:rPr>
          <w:rFonts w:hint="eastAsia"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磋商文件内容违反国家有关强制性规定的，磋商小组应当停止评审并向采购人或者采购代理机构说明情况。</w:t>
      </w:r>
      <w:r/>
    </w:p>
    <w:p>
      <w:pPr>
        <w:ind w:firstLine="482"/>
        <w:spacing w:line="520" w:lineRule="exact"/>
        <w:rPr>
          <w:rFonts w:hint="eastAsia" w:ascii="宋体" w:hAnsi="宋体" w:cs="宋体"/>
          <w:b/>
          <w:color w:val="auto"/>
          <w:sz w:val="24"/>
          <w:szCs w:val="24"/>
          <w:highlight w:val="none"/>
          <w:lang w:val="zh-CN"/>
        </w:rPr>
      </w:pPr>
      <w:r>
        <w:rPr>
          <w:rFonts w:ascii="宋体" w:hAnsi="宋体" w:cs="宋体"/>
          <w:b/>
          <w:color w:val="auto"/>
          <w:sz w:val="24"/>
          <w:szCs w:val="24"/>
          <w:highlight w:val="none"/>
          <w:lang w:val="zh-CN"/>
        </w:rPr>
        <w:t xml:space="preserve">3、竞争性磋商小组成员的义务：</w:t>
      </w:r>
      <w:r/>
    </w:p>
    <w:p>
      <w:pPr>
        <w:ind w:firstLine="480"/>
        <w:spacing w:line="520" w:lineRule="exact"/>
        <w:rPr>
          <w:rFonts w:hint="eastAsia" w:ascii="宋体" w:hAnsi="宋体" w:cs="宋体"/>
          <w:color w:val="auto"/>
          <w:sz w:val="24"/>
          <w:szCs w:val="24"/>
          <w:highlight w:val="none"/>
          <w:lang w:val="zh-CN"/>
        </w:rPr>
      </w:pPr>
      <w:r>
        <w:rPr>
          <w:rFonts w:ascii="宋体" w:hAnsi="宋体" w:cs="宋体"/>
          <w:color w:val="auto"/>
          <w:sz w:val="24"/>
          <w:szCs w:val="24"/>
          <w:highlight w:val="none"/>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p>
    <w:p>
      <w:pPr>
        <w:ind w:right="210" w:firstLine="482"/>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二、评审程序、内容</w:t>
      </w:r>
      <w:r/>
    </w:p>
    <w:p>
      <w:pPr>
        <w:ind w:firstLine="48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详见第二章《供应商须知》第27条。</w:t>
      </w:r>
      <w:r/>
    </w:p>
    <w:p>
      <w:pPr>
        <w:ind w:firstLine="480"/>
        <w:spacing w:line="520" w:lineRule="exact"/>
        <w:rPr>
          <w:rFonts w:hint="eastAsia"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磋商时间由磋商小组掌握。</w:t>
      </w:r>
      <w:r/>
    </w:p>
    <w:p>
      <w:pPr>
        <w:ind w:firstLine="496"/>
        <w:spacing w:line="520" w:lineRule="exact"/>
        <w:rPr>
          <w:rFonts w:hint="eastAsia" w:ascii="宋体" w:hAnsi="宋体"/>
          <w:b/>
          <w:color w:val="auto"/>
          <w:sz w:val="24"/>
          <w:szCs w:val="24"/>
          <w:highlight w:val="none"/>
        </w:rPr>
      </w:pPr>
      <w:r>
        <w:rPr>
          <w:rFonts w:ascii="宋体" w:hAnsi="宋体"/>
          <w:b/>
          <w:color w:val="auto"/>
          <w:sz w:val="24"/>
          <w:szCs w:val="24"/>
          <w:highlight w:val="none"/>
        </w:rPr>
        <w:t xml:space="preserve">三、评审方法-综合评分法</w:t>
      </w:r>
      <w:r/>
    </w:p>
    <w:p>
      <w:pPr>
        <w:ind w:firstLine="494"/>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经磋商确定最终采购需求和提交报价的供应商后，由磋商小组采用综合评分法对提交报价的供应商的响应文件和报价进行综合评分。</w:t>
      </w:r>
      <w:r/>
    </w:p>
    <w:p>
      <w:pPr>
        <w:ind w:firstLine="494"/>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94"/>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评审时，磋商小组各成员应当独立对每个有效响应的文件进行评价、打分，然后汇总每个供应商每项评分因素的得分。</w:t>
      </w:r>
      <w:r/>
    </w:p>
    <w:p>
      <w:pPr>
        <w:ind w:firstLine="482"/>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（一）审查响应文件的有效性、完整性、响应程度</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1、要求的保证金是否已提供；</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2、网上是否上传响应文件;</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3、供应商资格是否符合;</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4、响应文件是否完整；</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5、响应文件是否恰当地签署；</w:t>
      </w:r>
      <w:r/>
    </w:p>
    <w:p>
      <w:pPr>
        <w:ind w:firstLine="540"/>
        <w:spacing w:line="52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6、是否作出实质性响应（</w:t>
      </w:r>
      <w:r>
        <w:rPr>
          <w:rFonts w:hint="eastAsia" w:ascii="宋体" w:hAnsi="宋体"/>
          <w:b/>
          <w:color w:val="auto"/>
          <w:sz w:val="24"/>
          <w:szCs w:val="24"/>
          <w:highlight w:val="none"/>
        </w:rPr>
        <w:t xml:space="preserve">是否有实质性响应，只根据响应文件本身，而不寻求外部证据）；</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7、是否有计算错误。</w:t>
      </w:r>
      <w:r/>
    </w:p>
    <w:p>
      <w:pPr>
        <w:ind w:firstLine="482"/>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（二）误差纠正</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1、如果单价汇总金额与总价金额有出入，以单价金额计算结果为准；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2、单价金额小数点有明显错位的，应以总价为准；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3、若文件大写表示的数据与数字表示的有差别，以大写表示的数据为准。</w:t>
      </w:r>
      <w:r/>
    </w:p>
    <w:p>
      <w:pPr>
        <w:ind w:firstLine="482"/>
        <w:spacing w:line="520" w:lineRule="exact"/>
        <w:tabs>
          <w:tab w:val="left" w:pos="6555" w:leader="none"/>
          <w:tab w:val="right" w:pos="8306"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（三）出现下列情形之一的，作无效响应处理</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1、未按照磋商文件规定要求签署、盖章的；</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2、未完整上传响应文件电子文档的,或上传的文件打不开的；</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3、不具备磋商文件中规定的资格要求的；</w:t>
      </w:r>
      <w:r/>
    </w:p>
    <w:p>
      <w:pPr>
        <w:ind w:firstLine="570"/>
        <w:spacing w:line="520" w:lineRule="exact"/>
        <w:tabs>
          <w:tab w:val="left" w:pos="654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4、响应报价超出预算的；</w:t>
      </w:r>
      <w:r>
        <w:rPr>
          <w:rFonts w:hint="eastAsia" w:ascii="宋体" w:hAnsi="宋体"/>
          <w:color w:val="auto"/>
          <w:sz w:val="24"/>
          <w:szCs w:val="24"/>
          <w:highlight w:val="none"/>
        </w:rPr>
        <w:tab/>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5、不符合法律、法规和磋商文件中规定的其他实质性要求的。</w:t>
      </w:r>
      <w:r/>
    </w:p>
    <w:p>
      <w:pPr>
        <w:ind w:firstLine="570"/>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（四）出现下列情形之一的，磋商失败</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1、符合条件的供应商或者对磋商文件作实质响应的供应商不足3家的（市场竞争不充分的科研项目，以及需要扶持的科技成果转化项目可以是2家）；</w:t>
      </w:r>
      <w:r/>
    </w:p>
    <w:p>
      <w:pPr>
        <w:ind w:firstLine="55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2、出现影响采购公正的违法违规行为的；</w:t>
      </w:r>
      <w:r/>
    </w:p>
    <w:p>
      <w:pPr>
        <w:ind w:firstLine="55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3、供应商的报价均超过了采购预算，采购人不能支付的；</w:t>
      </w:r>
      <w:r/>
    </w:p>
    <w:p>
      <w:pPr>
        <w:ind w:firstLine="55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4、因重大变故，采购任务取消的。</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firstLine="441"/>
        <w:jc w:val="left"/>
        <w:spacing w:before="120" w:after="120"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四、政府采购政策功能落实</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5%</w:t>
      </w:r>
      <w:r>
        <w:rPr>
          <w:rFonts w:hint="eastAsia" w:ascii="宋体" w:hAnsi="宋体"/>
          <w:color w:val="auto"/>
          <w:sz w:val="24"/>
          <w:szCs w:val="24"/>
          <w:highlight w:val="none"/>
        </w:rPr>
        <w:t xml:space="preserve">的扣除价格，用扣除后的价格参与评审。</w:t>
      </w:r>
      <w:r/>
    </w:p>
    <w:p>
      <w:pPr>
        <w:ind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（2）供应商需按照采购文件的要求提供相应的《小微企业声明函》。</w:t>
      </w:r>
      <w:r/>
    </w:p>
    <w:p>
      <w:pPr>
        <w:ind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20"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5%</w:t>
      </w:r>
      <w:r>
        <w:rPr>
          <w:rFonts w:hint="eastAsia" w:ascii="宋体" w:hAnsi="宋体"/>
          <w:color w:val="auto"/>
          <w:sz w:val="24"/>
          <w:szCs w:val="24"/>
          <w:highlight w:val="none"/>
        </w:rPr>
        <w:t xml:space="preserve">的价格扣除，用扣除后的价格参与评审。</w:t>
      </w:r>
      <w:r/>
    </w:p>
    <w:p>
      <w:pPr>
        <w:ind w:left="120"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20"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5%</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3%</w:t>
      </w:r>
      <w:r>
        <w:rPr>
          <w:rFonts w:hint="eastAsia" w:ascii="宋体" w:hAnsi="宋体"/>
          <w:color w:val="auto"/>
          <w:sz w:val="24"/>
          <w:szCs w:val="24"/>
          <w:highlight w:val="none"/>
        </w:rPr>
        <w:t xml:space="preserve">价格扣除，用扣除后的价格参与评审。</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s="宋体"/>
          <w:color w:val="auto"/>
          <w:sz w:val="24"/>
          <w:highlight w:val="none"/>
          <w:lang w:bidi="ar"/>
        </w:rPr>
        <w:t xml:space="preserve">7、专门面向中小企业采购的项目或者采购包，不再执行价格评审优惠的扶持政策。</w:t>
      </w:r>
      <w:r/>
    </w:p>
    <w:p>
      <w:pPr>
        <w:ind w:firstLine="480"/>
        <w:spacing w:line="360" w:lineRule="auto"/>
        <w:widowControl/>
        <w:tabs>
          <w:tab w:val="left" w:pos="0" w:leader="none"/>
          <w:tab w:val="left" w:pos="993" w:leader="none"/>
          <w:tab w:val="left" w:pos="1134" w:leader="none"/>
        </w:tabs>
        <w:rPr>
          <w:rFonts w:hint="eastAsia" w:ascii="宋体" w:hAnsi="宋体" w:cs="宋体"/>
          <w:color w:val="auto"/>
          <w:sz w:val="24"/>
          <w:highlight w:val="none"/>
        </w:rPr>
      </w:pPr>
      <w:r>
        <w:rPr>
          <w:rFonts w:hint="eastAsia" w:ascii="宋体" w:hAnsi="宋体" w:cs="宋体"/>
          <w:bCs/>
          <w:color w:val="auto"/>
          <w:sz w:val="24"/>
          <w:highlight w:val="none"/>
        </w:rPr>
        <w:t xml:space="preserve">五、评标程序及评标标准</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1、资格性审查必要合格条件标准如下：</w:t>
      </w:r>
      <w:r/>
    </w:p>
    <w:p>
      <w:pPr>
        <w:ind w:firstLine="480"/>
        <w:spacing w:line="360" w:lineRule="auto"/>
        <w:rPr>
          <w:rFonts w:hint="eastAsia" w:ascii="宋体" w:hAnsi="宋体" w:cs="宋体"/>
          <w:color w:val="auto"/>
          <w:sz w:val="24"/>
          <w:highlight w:val="none"/>
          <w:lang w:val="zh-CN"/>
        </w:rPr>
      </w:pPr>
      <w:r/>
      <w:bookmarkStart w:id="176" w:name="_Hlk186386025"/>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供应商符合《政府采购法》第二十二条规定条件的承诺函</w:t>
      </w:r>
      <w:r>
        <w:rPr>
          <w:rFonts w:hint="eastAsia" w:ascii="宋体" w:hAnsi="宋体" w:cs="宋体"/>
          <w:color w:val="auto"/>
          <w:sz w:val="24"/>
          <w:highlight w:val="none"/>
          <w:lang w:val="zh-CN"/>
        </w:rPr>
        <w:t xml:space="preserve">（格式见附件1）；</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（2）法定代表人</w:t>
      </w:r>
      <w:r>
        <w:rPr>
          <w:rFonts w:hint="eastAsia" w:ascii="宋体" w:hAnsi="宋体" w:cs="宋体"/>
          <w:color w:val="auto"/>
          <w:sz w:val="24"/>
          <w:highlight w:val="none"/>
        </w:rPr>
        <w:t xml:space="preserve">（单位负责人）</w:t>
      </w:r>
      <w:r>
        <w:rPr>
          <w:rFonts w:hint="eastAsia" w:ascii="宋体" w:hAnsi="宋体" w:cs="宋体"/>
          <w:bCs/>
          <w:color w:val="auto"/>
          <w:sz w:val="24"/>
          <w:szCs w:val="24"/>
          <w:highlight w:val="none"/>
        </w:rPr>
        <w:t xml:space="preserve">身份证明书及法定代表人</w:t>
      </w:r>
      <w:r>
        <w:rPr>
          <w:rFonts w:hint="eastAsia" w:ascii="宋体" w:hAnsi="宋体" w:cs="宋体"/>
          <w:color w:val="auto"/>
          <w:sz w:val="24"/>
          <w:highlight w:val="none"/>
        </w:rPr>
        <w:t xml:space="preserve">（单位负责人）</w:t>
      </w:r>
      <w:r>
        <w:rPr>
          <w:rFonts w:hint="eastAsia" w:ascii="宋体" w:hAnsi="宋体" w:cs="宋体"/>
          <w:bCs/>
          <w:color w:val="auto"/>
          <w:sz w:val="24"/>
          <w:szCs w:val="24"/>
          <w:highlight w:val="none"/>
        </w:rPr>
        <w:t xml:space="preserve">身份证复印件</w:t>
      </w:r>
      <w:r>
        <w:rPr>
          <w:rFonts w:hint="eastAsia" w:ascii="宋体" w:hAnsi="宋体" w:cs="宋体"/>
          <w:color w:val="auto"/>
          <w:sz w:val="24"/>
          <w:highlight w:val="none"/>
          <w:lang w:val="zh-CN"/>
        </w:rPr>
        <w:t xml:space="preserve">（格式见附件</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w:t>
      </w:r>
      <w:r>
        <w:rPr>
          <w:rFonts w:hint="eastAsia" w:ascii="宋体" w:hAnsi="宋体" w:cs="宋体"/>
          <w:bCs/>
          <w:color w:val="auto"/>
          <w:sz w:val="24"/>
          <w:szCs w:val="24"/>
          <w:highlight w:val="none"/>
        </w:rPr>
        <w:t xml:space="preserve">；</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（3）法定代表人</w:t>
      </w:r>
      <w:r>
        <w:rPr>
          <w:rFonts w:hint="eastAsia" w:ascii="宋体" w:hAnsi="宋体" w:cs="宋体"/>
          <w:color w:val="auto"/>
          <w:sz w:val="24"/>
          <w:highlight w:val="none"/>
        </w:rPr>
        <w:t xml:space="preserve">（单位负责人）</w:t>
      </w:r>
      <w:r>
        <w:rPr>
          <w:rFonts w:hint="eastAsia" w:ascii="宋体" w:hAnsi="宋体" w:cs="宋体"/>
          <w:bCs/>
          <w:color w:val="auto"/>
          <w:sz w:val="24"/>
          <w:szCs w:val="24"/>
          <w:highlight w:val="none"/>
        </w:rPr>
        <w:t xml:space="preserve">授权委托书及委托代理人身份证复印件（如有授权）</w:t>
      </w:r>
      <w:r>
        <w:rPr>
          <w:rFonts w:hint="eastAsia" w:ascii="宋体" w:hAnsi="宋体" w:cs="宋体"/>
          <w:color w:val="auto"/>
          <w:sz w:val="24"/>
          <w:highlight w:val="none"/>
          <w:lang w:val="zh-CN"/>
        </w:rPr>
        <w:t xml:space="preserve">（格式见附件</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w:t>
      </w:r>
      <w:r>
        <w:rPr>
          <w:rFonts w:hint="eastAsia" w:ascii="宋体" w:hAnsi="宋体" w:cs="宋体"/>
          <w:bCs/>
          <w:color w:val="auto"/>
          <w:sz w:val="24"/>
          <w:szCs w:val="24"/>
          <w:highlight w:val="none"/>
        </w:rPr>
        <w:t xml:space="preserve">； </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（4）法人或者其他组织的营业执照等证明文件；自然人的身份证明；</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（5）保险业务许可证；</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（6）供应商提供投标企业所在地社保机构出具的由企业为委托代理人缴纳的</w:t>
      </w:r>
      <w:r>
        <w:rPr>
          <w:rFonts w:hint="eastAsia" w:ascii="宋体" w:hAnsi="宋体" w:cs="宋体"/>
          <w:bCs/>
          <w:color w:val="auto"/>
          <w:sz w:val="24"/>
          <w:szCs w:val="24"/>
          <w:highlight w:val="none"/>
          <w:lang w:eastAsia="zh-CN"/>
        </w:rPr>
        <w:t xml:space="preserve">投标截止时间前三个月（不含投标截止时间当月）中至少一个月的养老保险缴纳证明材料</w:t>
      </w:r>
      <w:r>
        <w:rPr>
          <w:rFonts w:hint="eastAsia" w:ascii="宋体" w:hAnsi="宋体" w:cs="宋体"/>
          <w:bCs/>
          <w:color w:val="auto"/>
          <w:sz w:val="24"/>
          <w:szCs w:val="24"/>
          <w:highlight w:val="none"/>
        </w:rPr>
        <w:t xml:space="preserve">；（注 ：委托代理人为法定代表人（单位负责人）的，无需提供养老保险缴费证明）</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w:t>
      </w:r>
      <w:r>
        <w:rPr>
          <w:rFonts w:hint="eastAsia" w:ascii="宋体" w:hAnsi="宋体" w:cs="宋体"/>
          <w:color w:val="auto"/>
          <w:sz w:val="24"/>
          <w:szCs w:val="24"/>
          <w:highlight w:val="none"/>
        </w:rPr>
        <w:t xml:space="preserve">提供2024年度由会计师事务所（或者审计机构）出具的财务报告；（总公司的财务报告，成立不满一年不需提供）；</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（9）具备履行合同所必需的设备和专业技术能力的书面声明</w:t>
      </w:r>
      <w:r>
        <w:rPr>
          <w:rFonts w:hint="eastAsia" w:ascii="宋体" w:hAnsi="宋体" w:cs="宋体"/>
          <w:color w:val="auto"/>
          <w:sz w:val="24"/>
          <w:highlight w:val="none"/>
          <w:lang w:val="zh-CN"/>
        </w:rPr>
        <w:t xml:space="preserve">（格式见附件</w:t>
      </w: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w:t>
      </w:r>
      <w:r>
        <w:rPr>
          <w:rFonts w:hint="eastAsia" w:ascii="宋体" w:hAnsi="宋体" w:cs="宋体"/>
          <w:bCs/>
          <w:color w:val="auto"/>
          <w:sz w:val="24"/>
          <w:szCs w:val="24"/>
          <w:highlight w:val="none"/>
        </w:rPr>
        <w:t xml:space="preserve">；</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（10）参加政府采购活动前 3 年内在经营活动中没有重大违法记录的书面声明</w:t>
      </w:r>
      <w:r>
        <w:rPr>
          <w:rFonts w:hint="eastAsia" w:ascii="宋体" w:hAnsi="宋体" w:cs="宋体"/>
          <w:color w:val="auto"/>
          <w:sz w:val="24"/>
          <w:highlight w:val="none"/>
          <w:lang w:val="zh-CN"/>
        </w:rPr>
        <w:t xml:space="preserve">（格式见附件</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w:t>
      </w:r>
      <w:r>
        <w:rPr>
          <w:rFonts w:hint="eastAsia" w:ascii="宋体" w:hAnsi="宋体" w:cs="宋体"/>
          <w:bCs/>
          <w:color w:val="auto"/>
          <w:sz w:val="24"/>
          <w:szCs w:val="24"/>
          <w:highlight w:val="none"/>
        </w:rPr>
        <w:t xml:space="preserve">；</w:t>
      </w:r>
      <w:r/>
    </w:p>
    <w:p>
      <w:pPr>
        <w:ind w:firstLine="48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（11）供应商信用承诺书；（格式见附件6）</w:t>
      </w:r>
      <w:r/>
    </w:p>
    <w:p>
      <w:pPr>
        <w:ind w:firstLine="48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投标人须将本项目中40%比例分包至一家或多家中小企业（提供承诺书，承诺书格式自拟）</w:t>
      </w:r>
      <w:r/>
    </w:p>
    <w:p>
      <w:pPr>
        <w:ind w:firstLine="48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）投标人认为其他必要的材料。</w:t>
      </w:r>
      <w:bookmarkEnd w:id="176"/>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上述（1）—（1</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）中任何一条不符合要求，则资格性审查不通过，按无效标处理。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2、商务技术标及报价标评审标准（100分）</w:t>
      </w:r>
      <w:r/>
    </w:p>
    <w:p>
      <w:pPr>
        <w:ind w:firstLine="480"/>
        <w:spacing w:line="360" w:lineRule="auto"/>
        <w:rPr>
          <w:rFonts w:cs="宋体"/>
          <w:color w:val="auto"/>
          <w:sz w:val="24"/>
          <w:szCs w:val="24"/>
          <w:highlight w:val="none"/>
        </w:rPr>
      </w:pPr>
      <w:r/>
      <w:bookmarkStart w:id="177" w:name="_Toc479962294"/>
      <w:r>
        <w:rPr>
          <w:rFonts w:hint="eastAsia" w:cs="宋体"/>
          <w:color w:val="auto"/>
          <w:sz w:val="24"/>
          <w:szCs w:val="24"/>
          <w:highlight w:val="none"/>
        </w:rPr>
        <w:t xml:space="preserve">本项目总分值为</w:t>
      </w:r>
      <w:r>
        <w:rPr>
          <w:color w:val="auto"/>
          <w:sz w:val="24"/>
          <w:szCs w:val="24"/>
          <w:highlight w:val="none"/>
        </w:rPr>
        <w:t xml:space="preserve">100</w:t>
      </w:r>
      <w:r>
        <w:rPr>
          <w:rFonts w:hint="eastAsia" w:cs="宋体"/>
          <w:color w:val="auto"/>
          <w:sz w:val="24"/>
          <w:szCs w:val="24"/>
          <w:highlight w:val="none"/>
        </w:rPr>
        <w:t xml:space="preserve">分，其中商务技术部分</w:t>
      </w:r>
      <w:r>
        <w:rPr>
          <w:rFonts w:hint="eastAsia"/>
          <w:color w:val="auto"/>
          <w:sz w:val="24"/>
          <w:szCs w:val="24"/>
          <w:highlight w:val="none"/>
          <w:lang w:val="en-US" w:eastAsia="zh-CN"/>
        </w:rPr>
        <w:t xml:space="preserve">8</w:t>
      </w:r>
      <w:r>
        <w:rPr>
          <w:rFonts w:hint="eastAsia"/>
          <w:color w:val="auto"/>
          <w:sz w:val="24"/>
          <w:szCs w:val="24"/>
          <w:highlight w:val="none"/>
        </w:rPr>
        <w:t xml:space="preserve">0</w:t>
      </w:r>
      <w:r>
        <w:rPr>
          <w:rFonts w:hint="eastAsia" w:cs="宋体"/>
          <w:color w:val="auto"/>
          <w:sz w:val="24"/>
          <w:szCs w:val="24"/>
          <w:highlight w:val="none"/>
        </w:rPr>
        <w:t xml:space="preserve">分，</w:t>
      </w:r>
      <w:r>
        <w:rPr>
          <w:rFonts w:hint="eastAsia"/>
          <w:color w:val="auto"/>
          <w:sz w:val="24"/>
          <w:szCs w:val="24"/>
          <w:highlight w:val="none"/>
        </w:rPr>
        <w:t xml:space="preserve">价格部分</w:t>
      </w:r>
      <w:r>
        <w:rPr>
          <w:rFonts w:hint="eastAsia"/>
          <w:color w:val="auto"/>
          <w:sz w:val="24"/>
          <w:szCs w:val="24"/>
          <w:highlight w:val="none"/>
          <w:lang w:val="en-US" w:eastAsia="zh-CN"/>
        </w:rPr>
        <w:t xml:space="preserve">2</w:t>
      </w:r>
      <w:r>
        <w:rPr>
          <w:rFonts w:hint="eastAsia"/>
          <w:color w:val="auto"/>
          <w:sz w:val="24"/>
          <w:szCs w:val="24"/>
          <w:highlight w:val="none"/>
        </w:rPr>
        <w:t xml:space="preserve">0分；</w:t>
      </w:r>
      <w:r>
        <w:rPr>
          <w:rFonts w:hint="eastAsia" w:cs="宋体"/>
          <w:color w:val="auto"/>
          <w:sz w:val="24"/>
          <w:szCs w:val="24"/>
          <w:highlight w:val="none"/>
        </w:rPr>
        <w:t xml:space="preserve">投标得分</w:t>
      </w:r>
      <w:r>
        <w:rPr>
          <w:color w:val="auto"/>
          <w:sz w:val="24"/>
          <w:szCs w:val="24"/>
          <w:highlight w:val="none"/>
        </w:rPr>
        <w:t xml:space="preserve">=</w:t>
      </w:r>
      <w:r>
        <w:rPr>
          <w:rFonts w:hint="eastAsia"/>
          <w:color w:val="auto"/>
          <w:sz w:val="24"/>
          <w:szCs w:val="24"/>
          <w:highlight w:val="none"/>
        </w:rPr>
        <w:t xml:space="preserve">商务</w:t>
      </w:r>
      <w:r>
        <w:rPr>
          <w:rFonts w:hint="eastAsia" w:cs="宋体"/>
          <w:color w:val="auto"/>
          <w:sz w:val="24"/>
          <w:szCs w:val="24"/>
          <w:highlight w:val="none"/>
        </w:rPr>
        <w:t xml:space="preserve">技术部分得分+价格部分得分。</w:t>
      </w:r>
      <w:bookmarkStart w:id="178" w:name="_Toc184635088"/>
      <w:r/>
      <w:bookmarkEnd w:id="178"/>
      <w:r/>
      <w:bookmarkStart w:id="179" w:name="_Toc474229428"/>
      <w:r/>
      <w:bookmarkEnd w:id="179"/>
      <w:r/>
      <w:bookmarkStart w:id="180" w:name="_Toc12009"/>
      <w:r/>
      <w:bookmarkEnd w:id="180"/>
      <w:r/>
      <w:r/>
    </w:p>
    <w:p>
      <w:pPr>
        <w:numPr>
          <w:ilvl w:val="0"/>
          <w:numId w:val="13"/>
        </w:numPr>
        <w:ind w:right="-147" w:firstLine="480"/>
        <w:spacing w:line="360" w:lineRule="auto"/>
        <w:tabs>
          <w:tab w:val="left" w:pos="375"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商务技术标部分（</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0分）</w:t>
      </w:r>
      <w:r/>
    </w:p>
    <w:tbl>
      <w:tblPr>
        <w:tblStyle w:val="879"/>
        <w:tblW w:w="4940" w:type="pct"/>
        <w:tblInd w:w="-108" w:type="dxa"/>
        <w:tblLayout w:type="fixed"/>
        <w:tblCellMar>
          <w:left w:w="108" w:type="dxa"/>
          <w:top w:w="0" w:type="dxa"/>
          <w:right w:w="108" w:type="dxa"/>
          <w:bottom w:w="0" w:type="dxa"/>
        </w:tblCellMar>
        <w:tblLook w:val="04A0" w:firstRow="1" w:lastRow="0" w:firstColumn="1" w:lastColumn="0" w:noHBand="0" w:noVBand="1"/>
      </w:tblPr>
      <w:tblGrid>
        <w:gridCol w:w="810"/>
        <w:gridCol w:w="1387"/>
        <w:gridCol w:w="6862"/>
      </w:tblGrid>
      <w:tr>
        <w:trPr>
          <w:trHeight w:val="34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tabs>
                <w:tab w:val="left" w:pos="3585" w:leader="none"/>
              </w:tabs>
              <w:rPr>
                <w:rFonts w:hint="eastAsia" w:ascii="宋体" w:hAnsi="宋体" w:cs="宋体"/>
                <w:color w:val="auto"/>
                <w:highlight w:val="none"/>
                <w:lang w:val="zh-CN"/>
              </w:rPr>
            </w:pPr>
            <w:r>
              <w:rPr>
                <w:rFonts w:hint="eastAsia" w:ascii="宋体" w:hAnsi="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tabs>
                <w:tab w:val="left" w:pos="3585" w:leader="none"/>
              </w:tabs>
              <w:rPr>
                <w:rFonts w:hint="eastAsia" w:ascii="宋体" w:hAnsi="宋体" w:cs="宋体"/>
                <w:color w:val="auto"/>
                <w:highlight w:val="none"/>
                <w:lang w:val="zh-CN"/>
              </w:rPr>
            </w:pPr>
            <w:r>
              <w:rPr>
                <w:rFonts w:hint="eastAsia" w:ascii="宋体" w:hAnsi="宋体" w:cs="宋体"/>
                <w:color w:val="auto"/>
                <w:highlight w:val="none"/>
              </w:rPr>
              <w:t xml:space="preserve">评分内容</w:t>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tcPr>
          <w:p>
            <w:pPr>
              <w:jc w:val="center"/>
              <w:tabs>
                <w:tab w:val="left" w:pos="3585" w:leader="none"/>
              </w:tabs>
              <w:rPr>
                <w:rFonts w:hint="eastAsia" w:ascii="宋体" w:hAnsi="宋体" w:cs="宋体"/>
                <w:color w:val="auto"/>
                <w:highlight w:val="none"/>
                <w:lang w:val="zh-CN"/>
              </w:rPr>
            </w:pPr>
            <w:r>
              <w:rPr>
                <w:rFonts w:hint="eastAsia" w:ascii="宋体" w:hAnsi="宋体" w:cs="宋体"/>
                <w:color w:val="auto"/>
                <w:highlight w:val="none"/>
              </w:rPr>
              <w:t xml:space="preserve">评审标准</w:t>
            </w:r>
            <w:r/>
          </w:p>
        </w:tc>
      </w:tr>
      <w:tr>
        <w:trPr>
          <w:trHeight w:val="1154"/>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tabs>
                <w:tab w:val="left" w:pos="3585" w:leader="none"/>
              </w:tabs>
              <w:rPr>
                <w:rFonts w:hint="eastAsia" w:ascii="宋体" w:hAnsi="宋体" w:cs="宋体"/>
                <w:color w:val="auto"/>
                <w:highlight w:val="none"/>
                <w:lang w:val="zh-CN"/>
              </w:rPr>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tabs>
                <w:tab w:val="left" w:pos="3585" w:leader="none"/>
              </w:tabs>
              <w:rPr>
                <w:rFonts w:hint="eastAsia" w:ascii="宋体" w:hAnsi="宋体" w:cs="宋体"/>
                <w:color w:val="auto"/>
                <w:highlight w:val="none"/>
                <w:lang w:val="zh-CN"/>
              </w:rPr>
            </w:pPr>
            <w:r>
              <w:rPr>
                <w:rFonts w:hint="eastAsia" w:ascii="宋体" w:hAnsi="宋体" w:cs="宋体"/>
                <w:color w:val="auto"/>
                <w:highlight w:val="none"/>
              </w:rPr>
              <w:t xml:space="preserve">核心偿付能力充足率（10分）</w:t>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tabs>
                <w:tab w:val="left" w:pos="3585" w:leader="none"/>
              </w:tabs>
              <w:rPr>
                <w:rFonts w:hint="eastAsia" w:ascii="宋体" w:hAnsi="宋体" w:cs="宋体"/>
                <w:color w:val="auto"/>
                <w:highlight w:val="none"/>
                <w:lang w:val="zh-CN"/>
              </w:rPr>
            </w:pPr>
            <w:r>
              <w:rPr>
                <w:rFonts w:hint="eastAsia" w:ascii="宋体" w:hAnsi="宋体" w:cs="宋体"/>
                <w:color w:val="auto"/>
                <w:highlight w:val="none"/>
              </w:rPr>
              <w:t xml:space="preserve">核心偿付能力充足率高于220%(含)的得10分,200%(含)—220%得7分，180%(含)—200%得5分，低于180%不得分。</w:t>
            </w:r>
            <w:r>
              <w:rPr>
                <w:rFonts w:hint="eastAsia" w:ascii="宋体" w:hAnsi="宋体" w:cs="宋体"/>
                <w:b/>
                <w:bCs/>
                <w:color w:val="auto"/>
                <w:highlight w:val="none"/>
              </w:rPr>
              <w:t xml:space="preserve">（注：</w:t>
            </w:r>
            <w:r>
              <w:rPr>
                <w:rFonts w:hint="eastAsia" w:ascii="宋体" w:hAnsi="宋体" w:cs="宋体"/>
                <w:b/>
                <w:bCs/>
                <w:color w:val="auto"/>
                <w:highlight w:val="none"/>
                <w:lang w:val="zh-CN"/>
              </w:rPr>
              <w:t xml:space="preserve">以中国保险行业协会202</w:t>
            </w:r>
            <w:r>
              <w:rPr>
                <w:rFonts w:hint="eastAsia" w:ascii="宋体" w:hAnsi="宋体" w:cs="宋体"/>
                <w:b/>
                <w:bCs/>
                <w:color w:val="auto"/>
                <w:highlight w:val="none"/>
              </w:rPr>
              <w:t xml:space="preserve">5</w:t>
            </w:r>
            <w:r>
              <w:rPr>
                <w:rFonts w:hint="eastAsia" w:ascii="宋体" w:hAnsi="宋体" w:cs="宋体"/>
                <w:b/>
                <w:bCs/>
                <w:color w:val="auto"/>
                <w:highlight w:val="none"/>
                <w:lang w:val="zh-CN"/>
              </w:rPr>
              <w:t xml:space="preserve">年第三季度保险公司年度信息披露报告为准。）</w:t>
            </w:r>
            <w:r/>
          </w:p>
        </w:tc>
      </w:tr>
      <w:tr>
        <w:trPr>
          <w:trHeight w:val="736"/>
        </w:trPr>
        <w:tc>
          <w:tcPr>
            <w:tcBorders>
              <w:top w:val="single" w:color="000000" w:sz="4" w:space="0"/>
              <w:left w:val="single" w:color="000000" w:sz="4" w:space="0"/>
              <w:bottom w:val="single" w:color="auto" w:sz="4" w:space="0"/>
              <w:right w:val="single" w:color="000000" w:sz="4" w:space="0"/>
            </w:tcBorders>
            <w:tcW w:w="447" w:type="dxa"/>
            <w:vAlign w:val="center"/>
            <w:textDirection w:val="lrTb"/>
            <w:noWrap/>
          </w:tcPr>
          <w:p>
            <w:pPr>
              <w:jc w:val="center"/>
              <w:tabs>
                <w:tab w:val="left" w:pos="3585" w:leader="none"/>
              </w:tabs>
              <w:rPr>
                <w:rFonts w:hint="eastAsia" w:ascii="宋体" w:hAnsi="宋体" w:cs="宋体"/>
                <w:color w:val="auto"/>
                <w:highlight w:val="none"/>
                <w:lang w:val="zh-CN"/>
              </w:rPr>
            </w:pPr>
            <w:r>
              <w:rPr>
                <w:rFonts w:hint="eastAsia" w:ascii="宋体" w:hAnsi="宋体" w:cs="宋体"/>
                <w:color w:val="auto"/>
                <w:highlight w:val="none"/>
              </w:rPr>
              <w:t xml:space="preserve">2</w:t>
            </w:r>
            <w:r/>
          </w:p>
        </w:tc>
        <w:tc>
          <w:tcPr>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rPr>
                <w:rFonts w:hint="eastAsia" w:ascii="宋体" w:hAnsi="宋体" w:cs="宋体"/>
                <w:color w:val="auto"/>
                <w:highlight w:val="none"/>
                <w:lang w:val="zh-CN"/>
              </w:rPr>
            </w:pPr>
            <w:r>
              <w:rPr>
                <w:rFonts w:hint="eastAsia" w:ascii="宋体" w:hAnsi="宋体" w:cs="宋体"/>
                <w:color w:val="auto"/>
                <w:highlight w:val="none"/>
              </w:rPr>
              <w:t xml:space="preserve">项目承办经验（10分）</w:t>
            </w:r>
            <w:r/>
          </w:p>
        </w:tc>
        <w:tc>
          <w:tcPr>
            <w:tcBorders>
              <w:top w:val="single" w:color="000000" w:sz="4" w:space="0"/>
              <w:left w:val="single" w:color="000000" w:sz="4" w:space="0"/>
              <w:bottom w:val="single" w:color="auto" w:sz="4" w:space="0"/>
              <w:right w:val="single" w:color="000000" w:sz="4" w:space="0"/>
            </w:tcBorders>
            <w:tcW w:w="3786"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2022年1月1日以来（以签订合同日期为准），有电梯综合保险业绩的，有一个得2分，最多得10分。</w:t>
            </w:r>
            <w:r/>
          </w:p>
          <w:p>
            <w:pPr>
              <w:tabs>
                <w:tab w:val="left" w:pos="3585" w:leader="none"/>
              </w:tabs>
              <w:rPr>
                <w:rFonts w:hint="eastAsia" w:ascii="宋体" w:hAnsi="宋体" w:cs="宋体"/>
                <w:color w:val="auto"/>
                <w:highlight w:val="none"/>
                <w:lang w:val="zh-CN"/>
              </w:rPr>
            </w:pPr>
            <w:r>
              <w:rPr>
                <w:rFonts w:hint="eastAsia" w:ascii="宋体" w:hAnsi="宋体" w:cs="宋体"/>
                <w:b/>
                <w:bCs/>
                <w:color w:val="auto"/>
                <w:highlight w:val="none"/>
              </w:rPr>
              <w:t xml:space="preserve">（注：电梯综合保险指包含电梯维保和电梯维修的电梯综合保险。提供中标通知书</w:t>
            </w:r>
            <w:r>
              <w:rPr>
                <w:rFonts w:hint="eastAsia" w:ascii="宋体" w:hAnsi="宋体" w:cs="宋体"/>
                <w:b/>
                <w:bCs/>
                <w:color w:val="auto"/>
                <w:highlight w:val="none"/>
                <w:lang w:val="en-US" w:eastAsia="zh-CN"/>
              </w:rPr>
              <w:t xml:space="preserve">和三方协议</w:t>
            </w:r>
            <w:r>
              <w:rPr>
                <w:rFonts w:hint="eastAsia" w:ascii="宋体" w:hAnsi="宋体" w:cs="宋体"/>
                <w:b/>
                <w:bCs/>
                <w:color w:val="auto"/>
                <w:highlight w:val="none"/>
              </w:rPr>
              <w:t xml:space="preserve">合同原件复印件）</w:t>
            </w:r>
            <w:r/>
          </w:p>
        </w:tc>
      </w:tr>
      <w:tr>
        <w:trPr>
          <w:trHeight w:val="1245"/>
        </w:trPr>
        <w:tc>
          <w:tcPr>
            <w:tcBorders>
              <w:top w:val="single" w:color="auto" w:sz="4" w:space="0"/>
              <w:left w:val="single" w:color="auto" w:sz="4" w:space="0"/>
              <w:bottom w:val="single" w:color="auto" w:sz="4" w:space="0"/>
              <w:right w:val="single" w:color="auto" w:sz="4" w:space="0"/>
            </w:tcBorders>
            <w:tcW w:w="447" w:type="dxa"/>
            <w:vAlign w:val="center"/>
            <w:textDirection w:val="lrTb"/>
            <w:noWrap w:val="false"/>
          </w:tcPr>
          <w:p>
            <w:pPr>
              <w:jc w:val="cente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项目服务团队（</w:t>
            </w: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3786" w:type="dxa"/>
            <w:vAlign w:val="center"/>
            <w:textDirection w:val="lrTb"/>
            <w:noWrap w:val="false"/>
          </w:tcPr>
          <w:p>
            <w:pPr>
              <w:tabs>
                <w:tab w:val="left" w:pos="3585" w:leader="none"/>
              </w:tabs>
              <w:rPr>
                <w:rFonts w:hint="eastAsia" w:ascii="宋体" w:hAnsi="宋体" w:cs="宋体"/>
                <w:bCs/>
                <w:color w:val="auto"/>
                <w:highlight w:val="none"/>
              </w:rPr>
            </w:pPr>
            <w:r>
              <w:rPr>
                <w:rFonts w:hint="eastAsia" w:ascii="宋体" w:hAnsi="宋体" w:cs="宋体"/>
                <w:bCs/>
                <w:color w:val="auto"/>
                <w:highlight w:val="none"/>
              </w:rPr>
              <w:t xml:space="preserve">提供成交后服务商拟提供的本项目专业服务团队，根据拟投入本项目的服务团队资质、经验进行综合评价，团队资质齐全、经验丰富、能完全满足项目需求的得</w:t>
            </w:r>
            <w:r>
              <w:rPr>
                <w:rFonts w:hint="eastAsia" w:ascii="宋体" w:hAnsi="宋体" w:cs="宋体"/>
                <w:bCs/>
                <w:color w:val="auto"/>
                <w:highlight w:val="none"/>
                <w:lang w:val="en-US" w:eastAsia="zh-CN"/>
              </w:rPr>
              <w:t xml:space="preserve">15</w:t>
            </w:r>
            <w:r>
              <w:rPr>
                <w:rFonts w:hint="eastAsia" w:ascii="宋体" w:hAnsi="宋体" w:cs="宋体"/>
                <w:bCs/>
                <w:color w:val="auto"/>
                <w:highlight w:val="none"/>
              </w:rPr>
              <w:t xml:space="preserve">分，团队资质较齐全、经验较丰富得</w:t>
            </w:r>
            <w:r>
              <w:rPr>
                <w:rFonts w:hint="eastAsia" w:ascii="宋体" w:hAnsi="宋体" w:cs="宋体"/>
                <w:bCs/>
                <w:color w:val="auto"/>
                <w:highlight w:val="none"/>
                <w:lang w:val="en-US" w:eastAsia="zh-CN"/>
              </w:rPr>
              <w:t xml:space="preserve">10</w:t>
            </w:r>
            <w:r>
              <w:rPr>
                <w:rFonts w:hint="eastAsia" w:ascii="宋体" w:hAnsi="宋体" w:cs="宋体"/>
                <w:bCs/>
                <w:color w:val="auto"/>
                <w:highlight w:val="none"/>
              </w:rPr>
              <w:t xml:space="preserve">分，团队资质不全、经验相对不足得</w:t>
            </w: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分，未设置专业服务团队不得分。</w:t>
            </w:r>
            <w:r/>
          </w:p>
        </w:tc>
      </w:tr>
      <w:tr>
        <w:trPr>
          <w:trHeight w:val="1420"/>
        </w:trPr>
        <w:tc>
          <w:tcPr>
            <w:tcBorders>
              <w:top w:val="single" w:color="auto" w:sz="4" w:space="0"/>
              <w:left w:val="single" w:color="000000" w:sz="4" w:space="0"/>
              <w:bottom w:val="none" w:color="000000" w:sz="4" w:space="0"/>
              <w:right w:val="single" w:color="000000" w:sz="4" w:space="0"/>
            </w:tcBorders>
            <w:tcW w:w="447" w:type="dxa"/>
            <w:vAlign w:val="center"/>
            <w:vMerge w:val="restart"/>
            <w:textDirection w:val="lrTb"/>
            <w:noWrap w:val="false"/>
          </w:tcPr>
          <w:p>
            <w:pPr>
              <w:jc w:val="cente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4</w:t>
            </w:r>
            <w:r/>
          </w:p>
        </w:tc>
        <w:tc>
          <w:tcPr>
            <w:tcBorders>
              <w:top w:val="single" w:color="auto" w:sz="4" w:space="0"/>
              <w:left w:val="single" w:color="000000" w:sz="4" w:space="0"/>
              <w:bottom w:val="none" w:color="000000" w:sz="4" w:space="0"/>
              <w:right w:val="single" w:color="000000" w:sz="4" w:space="0"/>
            </w:tcBorders>
            <w:tcW w:w="765" w:type="dxa"/>
            <w:vAlign w:val="center"/>
            <w:vMerge w:val="restart"/>
            <w:textDirection w:val="lrTb"/>
            <w:noWrap w:val="false"/>
          </w:tcPr>
          <w:p>
            <w:pP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服务方案（40分）</w:t>
            </w:r>
            <w:r/>
          </w:p>
        </w:tc>
        <w:tc>
          <w:tcPr>
            <w:tcBorders>
              <w:top w:val="single" w:color="auto" w:sz="4" w:space="0"/>
              <w:left w:val="single" w:color="000000" w:sz="4" w:space="0"/>
              <w:bottom w:val="single" w:color="000000" w:sz="4" w:space="0"/>
              <w:right w:val="single" w:color="000000" w:sz="4" w:space="0"/>
            </w:tcBorders>
            <w:tcW w:w="3786"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1.提供针对该项目的维保服务内容：（10分）</w:t>
            </w:r>
            <w:r/>
          </w:p>
          <w:p>
            <w:pPr>
              <w:jc w:val="left"/>
              <w:rPr>
                <w:rFonts w:hint="eastAsia" w:ascii="宋体" w:hAnsi="宋体" w:cs="宋体"/>
                <w:color w:val="auto"/>
                <w:highlight w:val="none"/>
              </w:rPr>
            </w:pPr>
            <w:r>
              <w:rPr>
                <w:rFonts w:hint="eastAsia" w:ascii="宋体" w:hAnsi="宋体" w:cs="宋体"/>
                <w:color w:val="auto"/>
                <w:highlight w:val="none"/>
              </w:rPr>
              <w:t xml:space="preserve">①维保服务内容齐全、实施性强，满足项目需求的得10分；</w:t>
            </w:r>
            <w:r/>
          </w:p>
          <w:p>
            <w:pPr>
              <w:jc w:val="left"/>
              <w:rPr>
                <w:rFonts w:hint="eastAsia" w:ascii="宋体" w:hAnsi="宋体" w:cs="宋体"/>
                <w:color w:val="auto"/>
                <w:highlight w:val="none"/>
              </w:rPr>
            </w:pPr>
            <w:r>
              <w:rPr>
                <w:rFonts w:hint="eastAsia" w:ascii="宋体" w:hAnsi="宋体" w:cs="宋体"/>
                <w:color w:val="auto"/>
                <w:highlight w:val="none"/>
              </w:rPr>
              <w:t xml:space="preserve">②维保服务内容较齐全、可实施性较强、部分满足项目需求的得7分；</w:t>
            </w:r>
            <w:r/>
          </w:p>
          <w:p>
            <w:pPr>
              <w:jc w:val="left"/>
              <w:rPr>
                <w:rFonts w:hint="eastAsia" w:ascii="宋体" w:hAnsi="宋体" w:cs="宋体"/>
                <w:color w:val="auto"/>
                <w:highlight w:val="none"/>
              </w:rPr>
            </w:pPr>
            <w:r>
              <w:rPr>
                <w:rFonts w:hint="eastAsia" w:ascii="宋体" w:hAnsi="宋体" w:cs="宋体"/>
                <w:color w:val="auto"/>
                <w:highlight w:val="none"/>
              </w:rPr>
              <w:t xml:space="preserve">③维保服务内容有缺漏项，缺乏可行性的得5分；</w:t>
            </w:r>
            <w:r/>
          </w:p>
          <w:p>
            <w:pPr>
              <w:jc w:val="left"/>
              <w:rPr>
                <w:rFonts w:hint="eastAsia" w:ascii="宋体" w:hAnsi="宋体" w:cs="宋体"/>
                <w:b/>
                <w:bCs/>
                <w:color w:val="auto"/>
                <w:highlight w:val="none"/>
              </w:rPr>
            </w:pPr>
            <w:r>
              <w:rPr>
                <w:rFonts w:hint="eastAsia" w:ascii="宋体" w:hAnsi="宋体" w:cs="宋体"/>
                <w:color w:val="auto"/>
                <w:highlight w:val="none"/>
              </w:rPr>
              <w:t xml:space="preserve">未提供不予得分。</w:t>
            </w:r>
            <w:r/>
          </w:p>
        </w:tc>
      </w:tr>
      <w:tr>
        <w:trPr>
          <w:trHeight w:val="1937"/>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jc w:val="center"/>
              <w:tabs>
                <w:tab w:val="left" w:pos="3585" w:leader="none"/>
              </w:tabs>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left w:val="single" w:color="000000" w:sz="4" w:space="0"/>
              <w:bottom w:val="none" w:color="000000" w:sz="4" w:space="0"/>
              <w:right w:val="single" w:color="000000" w:sz="4" w:space="0"/>
            </w:tcBorders>
            <w:tcW w:w="765" w:type="dxa"/>
            <w:vAlign w:val="center"/>
            <w:vMerge w:val="continue"/>
            <w:textDirection w:val="lrTb"/>
            <w:noWrap w:val="false"/>
          </w:tcPr>
          <w:p>
            <w:pPr>
              <w:tabs>
                <w:tab w:val="left" w:pos="3585" w:leader="none"/>
              </w:tabs>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2.供应商提出针对本项目理赔服务方案进行综合打分：（10分）</w:t>
            </w:r>
            <w:r/>
          </w:p>
          <w:p>
            <w:pPr>
              <w:jc w:val="left"/>
              <w:rPr>
                <w:rFonts w:hint="eastAsia" w:ascii="宋体" w:hAnsi="宋体" w:cs="宋体"/>
                <w:color w:val="auto"/>
                <w:highlight w:val="none"/>
              </w:rPr>
            </w:pPr>
            <w:r>
              <w:rPr>
                <w:rFonts w:hint="eastAsia" w:ascii="宋体" w:hAnsi="宋体" w:cs="宋体"/>
                <w:color w:val="auto"/>
                <w:highlight w:val="none"/>
              </w:rPr>
              <w:t xml:space="preserve">①建立理赔绿色通道，设立项目理赔专线联系方式得10分；</w:t>
            </w:r>
            <w:r/>
          </w:p>
          <w:p>
            <w:pPr>
              <w:jc w:val="left"/>
              <w:rPr>
                <w:rFonts w:hint="eastAsia" w:ascii="宋体" w:hAnsi="宋体" w:cs="宋体"/>
                <w:color w:val="auto"/>
                <w:highlight w:val="none"/>
              </w:rPr>
            </w:pPr>
            <w:r>
              <w:rPr>
                <w:rFonts w:hint="eastAsia" w:ascii="宋体" w:hAnsi="宋体" w:cs="宋体"/>
                <w:color w:val="auto"/>
                <w:highlight w:val="none"/>
              </w:rPr>
              <w:t xml:space="preserve">②未设立理赔绿色通道，设立项目理赔专线联系方式得7分；</w:t>
            </w:r>
            <w:r/>
          </w:p>
          <w:p>
            <w:pPr>
              <w:jc w:val="left"/>
              <w:rPr>
                <w:rFonts w:hint="eastAsia" w:ascii="宋体" w:hAnsi="宋体" w:cs="宋体"/>
                <w:color w:val="auto"/>
                <w:highlight w:val="none"/>
              </w:rPr>
            </w:pPr>
            <w:r>
              <w:rPr>
                <w:rFonts w:hint="eastAsia" w:ascii="宋体" w:hAnsi="宋体" w:cs="宋体"/>
                <w:color w:val="auto"/>
                <w:highlight w:val="none"/>
              </w:rPr>
              <w:t xml:space="preserve">③未建立理赔绿色通道，未设立项目理赔专线联系方式，仅提供总公司热线电话的得5分；</w:t>
            </w:r>
            <w:r/>
          </w:p>
          <w:p>
            <w:pPr>
              <w:jc w:val="left"/>
              <w:widowControl/>
              <w:rPr>
                <w:rFonts w:hint="eastAsia" w:ascii="宋体" w:hAnsi="宋体" w:cs="宋体"/>
                <w:b/>
                <w:bCs/>
                <w:color w:val="auto"/>
                <w:highlight w:val="none"/>
              </w:rPr>
            </w:pPr>
            <w:r>
              <w:rPr>
                <w:rFonts w:hint="eastAsia" w:ascii="宋体" w:hAnsi="宋体" w:cs="宋体"/>
                <w:color w:val="auto"/>
                <w:highlight w:val="none"/>
              </w:rPr>
              <w:t xml:space="preserve">未提供不予得分。</w:t>
            </w:r>
            <w:r/>
          </w:p>
        </w:tc>
      </w:tr>
      <w:tr>
        <w:trPr>
          <w:trHeight w:val="424"/>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jc w:val="center"/>
              <w:tabs>
                <w:tab w:val="left" w:pos="3585" w:leader="none"/>
              </w:tabs>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left w:val="single" w:color="000000" w:sz="4" w:space="0"/>
              <w:bottom w:val="none" w:color="000000" w:sz="4" w:space="0"/>
              <w:right w:val="single" w:color="000000" w:sz="4" w:space="0"/>
            </w:tcBorders>
            <w:tcW w:w="765" w:type="dxa"/>
            <w:vAlign w:val="center"/>
            <w:vMerge w:val="continue"/>
            <w:textDirection w:val="lrTb"/>
            <w:noWrap w:val="false"/>
          </w:tcPr>
          <w:p>
            <w:pPr>
              <w:tabs>
                <w:tab w:val="left" w:pos="3585" w:leader="none"/>
              </w:tabs>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3.供应商提出针对本项目</w:t>
            </w:r>
            <w:bookmarkStart w:id="181" w:name="_Toc860462195"/>
            <w:r>
              <w:rPr>
                <w:rFonts w:hint="eastAsia" w:ascii="宋体" w:hAnsi="宋体" w:cs="宋体"/>
                <w:color w:val="auto"/>
                <w:highlight w:val="none"/>
              </w:rPr>
              <w:t xml:space="preserve">维修服务内容</w:t>
            </w:r>
            <w:bookmarkEnd w:id="181"/>
            <w:r>
              <w:rPr>
                <w:rFonts w:hint="eastAsia" w:ascii="宋体" w:hAnsi="宋体" w:cs="宋体"/>
                <w:color w:val="auto"/>
                <w:highlight w:val="none"/>
              </w:rPr>
              <w:t xml:space="preserve">（包含但不限于一般故障、复杂故障、零配件管理等），根据具体性、可行性进行综合打分：（10分）</w:t>
            </w:r>
            <w:r/>
          </w:p>
          <w:p>
            <w:pPr>
              <w:jc w:val="left"/>
              <w:rPr>
                <w:rFonts w:hint="eastAsia" w:ascii="宋体" w:hAnsi="宋体" w:cs="宋体"/>
                <w:color w:val="auto"/>
                <w:highlight w:val="none"/>
              </w:rPr>
            </w:pPr>
            <w:r>
              <w:rPr>
                <w:rFonts w:hint="eastAsia" w:ascii="宋体" w:hAnsi="宋体" w:cs="宋体"/>
                <w:color w:val="auto"/>
                <w:highlight w:val="none"/>
              </w:rPr>
              <w:t xml:space="preserve">①维修服务内容齐全、实施性强，满足项目需求的得10分；</w:t>
            </w:r>
            <w:r/>
          </w:p>
          <w:p>
            <w:pPr>
              <w:jc w:val="left"/>
              <w:rPr>
                <w:rFonts w:hint="eastAsia" w:ascii="宋体" w:hAnsi="宋体" w:cs="宋体"/>
                <w:color w:val="auto"/>
                <w:highlight w:val="none"/>
              </w:rPr>
            </w:pPr>
            <w:r>
              <w:rPr>
                <w:rFonts w:hint="eastAsia" w:ascii="宋体" w:hAnsi="宋体" w:cs="宋体"/>
                <w:color w:val="auto"/>
                <w:highlight w:val="none"/>
              </w:rPr>
              <w:t xml:space="preserve">②维修服务内容较齐全、可实施性较强、部分满足项目需求的得7分；</w:t>
            </w:r>
            <w:r/>
          </w:p>
          <w:p>
            <w:pPr>
              <w:jc w:val="left"/>
              <w:rPr>
                <w:rFonts w:hint="eastAsia" w:ascii="宋体" w:hAnsi="宋体" w:cs="宋体"/>
                <w:color w:val="auto"/>
                <w:highlight w:val="none"/>
              </w:rPr>
            </w:pPr>
            <w:r>
              <w:rPr>
                <w:rFonts w:hint="eastAsia" w:ascii="宋体" w:hAnsi="宋体" w:cs="宋体"/>
                <w:color w:val="auto"/>
                <w:highlight w:val="none"/>
              </w:rPr>
              <w:t xml:space="preserve">③维修服务内容有缺漏项，缺乏可行性得5分；</w:t>
            </w:r>
            <w:r/>
          </w:p>
          <w:p>
            <w:pPr>
              <w:jc w:val="left"/>
              <w:rPr>
                <w:rFonts w:hint="eastAsia" w:ascii="宋体" w:hAnsi="宋体" w:cs="宋体"/>
                <w:color w:val="auto"/>
                <w:highlight w:val="none"/>
              </w:rPr>
            </w:pPr>
            <w:r>
              <w:rPr>
                <w:rFonts w:hint="eastAsia" w:ascii="宋体" w:hAnsi="宋体" w:cs="宋体"/>
                <w:color w:val="auto"/>
                <w:highlight w:val="none"/>
              </w:rPr>
              <w:t xml:space="preserve">未提供不予得分。</w:t>
            </w:r>
            <w:r/>
          </w:p>
        </w:tc>
      </w:tr>
      <w:tr>
        <w:trPr>
          <w:trHeight w:val="1420"/>
        </w:trPr>
        <w:tc>
          <w:tcPr>
            <w:tcBorders>
              <w:top w:val="none" w:color="000000" w:sz="4" w:space="0"/>
              <w:left w:val="single" w:color="000000" w:sz="4" w:space="0"/>
              <w:bottom w:val="none" w:color="000000" w:sz="4" w:space="0"/>
              <w:right w:val="single" w:color="000000" w:sz="4" w:space="0"/>
            </w:tcBorders>
            <w:tcW w:w="447" w:type="dxa"/>
            <w:vAlign w:val="center"/>
            <w:vMerge w:val="continue"/>
            <w:textDirection w:val="lrTb"/>
            <w:noWrap w:val="false"/>
          </w:tcPr>
          <w:p>
            <w:pPr>
              <w:jc w:val="center"/>
              <w:tabs>
                <w:tab w:val="left" w:pos="3585" w:leader="none"/>
              </w:tabs>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left w:val="single" w:color="000000" w:sz="4" w:space="0"/>
              <w:bottom w:val="none" w:color="000000" w:sz="4" w:space="0"/>
              <w:right w:val="single" w:color="000000" w:sz="4" w:space="0"/>
            </w:tcBorders>
            <w:tcW w:w="765" w:type="dxa"/>
            <w:vAlign w:val="center"/>
            <w:vMerge w:val="continue"/>
            <w:textDirection w:val="lrTb"/>
            <w:noWrap w:val="false"/>
          </w:tcPr>
          <w:p>
            <w:pPr>
              <w:tabs>
                <w:tab w:val="left" w:pos="3585" w:leader="none"/>
              </w:tabs>
              <w:rPr>
                <w:rFonts w:hint="eastAsia" w:ascii="宋体" w:hAnsi="宋体" w:cs="宋体"/>
                <w:color w:val="auto"/>
                <w:highlight w:val="none"/>
              </w:rPr>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4.供应商提出针对本项目的保障措施（包含但不限于维保服务标准、维保专业队伍及日常管理、维保机构监督和退出机制等），根据具体性、可行性进行综合打分：（10分）</w:t>
            </w:r>
            <w:r/>
          </w:p>
          <w:p>
            <w:pP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①保障措施内容齐全、实施性强、满足项目需求的得10分；</w:t>
            </w:r>
            <w:r/>
          </w:p>
          <w:p>
            <w:pP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②保障措施内容较齐全、可实施性较强、部分满足项目需求的得7分；</w:t>
            </w:r>
            <w:r/>
          </w:p>
          <w:p>
            <w:pP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③保障措施内容有缺漏项，缺乏可行性得5分；</w:t>
            </w:r>
            <w:r/>
          </w:p>
          <w:p>
            <w:pP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未提供不予得分。</w:t>
            </w:r>
            <w:r/>
          </w:p>
        </w:tc>
      </w:tr>
      <w:tr>
        <w:trPr>
          <w:trHeight w:val="390"/>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tabs>
                <w:tab w:val="left" w:pos="3585" w:leader="none"/>
              </w:tabs>
              <w:rPr>
                <w:rFonts w:hint="eastAsia" w:ascii="宋体" w:hAnsi="宋体" w:cs="宋体"/>
                <w:color w:val="auto"/>
                <w:highlight w:val="none"/>
                <w:lang w:val="zh-CN"/>
              </w:rPr>
            </w:pPr>
            <w:r>
              <w:rPr>
                <w:rFonts w:hint="eastAsia" w:ascii="宋体" w:hAnsi="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tabs>
                <w:tab w:val="left" w:pos="3585" w:leader="none"/>
              </w:tabs>
              <w:rPr>
                <w:rFonts w:hint="eastAsia" w:ascii="宋体" w:hAnsi="宋体" w:cs="宋体"/>
                <w:color w:val="auto"/>
                <w:highlight w:val="none"/>
                <w:lang w:val="zh-CN"/>
              </w:rPr>
            </w:pPr>
            <w:r>
              <w:rPr>
                <w:rFonts w:hint="eastAsia" w:ascii="宋体" w:hAnsi="宋体" w:cs="宋体"/>
                <w:color w:val="auto"/>
                <w:highlight w:val="none"/>
              </w:rPr>
              <w:t xml:space="preserve">增值服务承诺（</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tc>
        <w:tc>
          <w:tcPr>
            <w:tcBorders>
              <w:top w:val="single" w:color="000000" w:sz="4" w:space="0"/>
              <w:left w:val="single" w:color="000000" w:sz="4" w:space="0"/>
              <w:bottom w:val="single" w:color="000000" w:sz="4" w:space="0"/>
              <w:right w:val="single" w:color="000000" w:sz="4" w:space="0"/>
            </w:tcBorders>
            <w:tcW w:w="3786" w:type="dxa"/>
            <w:vAlign w:val="center"/>
            <w:textDirection w:val="lrTb"/>
            <w:noWrap w:val="false"/>
          </w:tcPr>
          <w:p>
            <w:pPr>
              <w:tabs>
                <w:tab w:val="left" w:pos="3585" w:leader="none"/>
              </w:tabs>
              <w:rPr>
                <w:rFonts w:hint="eastAsia" w:ascii="宋体" w:hAnsi="宋体" w:cs="宋体"/>
                <w:color w:val="auto"/>
                <w:highlight w:val="none"/>
              </w:rPr>
            </w:pPr>
            <w:r>
              <w:rPr>
                <w:rFonts w:hint="eastAsia" w:ascii="宋体" w:hAnsi="宋体" w:cs="宋体"/>
                <w:color w:val="auto"/>
                <w:highlight w:val="none"/>
              </w:rPr>
              <w:t xml:space="preserve">提供供应商具有优势的相关增值服务承诺，包括但不限于以下内容：电梯档案存储，日常保养服务跟踪，电梯配件更换，物联网，电梯运行统计分析等。需提供相关资料，每有一项得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分，本项最高得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分。不提供不得分。</w:t>
            </w:r>
            <w:r/>
          </w:p>
        </w:tc>
      </w:tr>
    </w:tbl>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技术标评审时，评标委员会成员分别对每个有效投标人的标书进行评价、打分。技术分按算术平均值计算。分值四舍五入，保留小数点后两位。</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注：①请供应商对“评分标准表”中的所有打分项逐一响应并提供证明文件。 </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②请供应商制作磋商响应文件的时保证图片、文字材料的完整、清晰可辨，任何原因导致评委看不清楚或无法查看，后果由供应商自负。</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pStyle w:val="1160"/>
        <w:ind w:firstLine="0"/>
        <w:spacing w:line="360" w:lineRule="auto"/>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（二）价格标部分（</w:t>
      </w:r>
      <w:r>
        <w:rPr>
          <w:rFonts w:hint="eastAsia" w:ascii="宋体" w:hAnsi="宋体" w:eastAsia="宋体"/>
          <w:b/>
          <w:bCs/>
          <w:color w:val="auto"/>
          <w:sz w:val="24"/>
          <w:szCs w:val="24"/>
          <w:highlight w:val="none"/>
          <w:lang w:val="en-US" w:eastAsia="zh-CN"/>
        </w:rPr>
        <w:t xml:space="preserve">2</w:t>
      </w:r>
      <w:r>
        <w:rPr>
          <w:rFonts w:hint="eastAsia" w:ascii="宋体" w:hAnsi="宋体" w:eastAsia="宋体"/>
          <w:b/>
          <w:bCs/>
          <w:color w:val="auto"/>
          <w:sz w:val="24"/>
          <w:szCs w:val="24"/>
          <w:highlight w:val="none"/>
        </w:rPr>
        <w:t xml:space="preserve">0分）</w:t>
      </w:r>
      <w:bookmarkEnd w:id="177"/>
      <w:r/>
      <w:r/>
    </w:p>
    <w:tbl>
      <w:tblPr>
        <w:tblStyle w:val="879"/>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评标内容</w:t>
            </w:r>
            <w:r/>
          </w:p>
        </w:tc>
        <w:tc>
          <w:tcPr>
            <w:tcW w:w="690" w:type="dxa"/>
            <w:vAlign w:val="center"/>
            <w:textDirection w:val="lrTb"/>
            <w:noWrap w:val="false"/>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c>
          <w:tcPr>
            <w:tcW w:w="7800" w:type="dxa"/>
            <w:vAlign w:val="center"/>
            <w:textDirection w:val="lrTb"/>
            <w:noWrap w:val="false"/>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价格标得分 </w:t>
            </w:r>
            <w:r/>
          </w:p>
        </w:tc>
        <w:tc>
          <w:tcPr>
            <w:tcW w:w="690" w:type="dxa"/>
            <w:vAlign w:val="center"/>
            <w:textDirection w:val="lrTb"/>
            <w:noWrap w:val="false"/>
          </w:tcPr>
          <w:p>
            <w:pPr>
              <w:jc w:val="center"/>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0</w:t>
            </w:r>
            <w:r/>
          </w:p>
        </w:tc>
        <w:tc>
          <w:tcPr>
            <w:tcW w:w="7800" w:type="dxa"/>
            <w:vAlign w:val="center"/>
            <w:textDirection w:val="lrTb"/>
            <w:noWrap w:val="false"/>
          </w:tcPr>
          <w:p>
            <w:pP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磋商报价得分=（磋商基准价/最后磋商报价）×</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0（分值四舍五入，保留小数点后两位）</w:t>
            </w:r>
            <w:r/>
          </w:p>
        </w:tc>
      </w:tr>
    </w:tbl>
    <w:p>
      <w:pPr>
        <w:ind w:firstLine="482"/>
        <w:spacing w:line="360" w:lineRule="auto"/>
        <w:widowControl/>
        <w:tabs>
          <w:tab w:val="left" w:pos="0" w:leader="none"/>
          <w:tab w:val="left" w:pos="993"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注：中小企业声明函（如符合小型和微型企业的需提供）；监狱企业证明函（如符合监狱企业的需提供）；残疾人福利性单位声明函（如符合残疾人福利性单位的需提供）。</w:t>
      </w:r>
      <w:r/>
    </w:p>
    <w:p>
      <w:pPr>
        <w:ind w:firstLine="482"/>
        <w:spacing w:line="360" w:lineRule="auto"/>
        <w:widowControl/>
        <w:tabs>
          <w:tab w:val="left" w:pos="0" w:leader="none"/>
          <w:tab w:val="left" w:pos="993"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（1）中小企业声明函如未提供则不能享受小型和微型企业的价格给予10%的扣除；用扣除后的价格作为有效报价参与评审的优惠政策。</w:t>
      </w:r>
      <w:r/>
    </w:p>
    <w:p>
      <w:pPr>
        <w:ind w:firstLine="482"/>
        <w:spacing w:line="360" w:lineRule="auto"/>
        <w:widowControl/>
        <w:tabs>
          <w:tab w:val="left" w:pos="0" w:leader="none"/>
          <w:tab w:val="left" w:pos="993"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（2）监狱企业证明函及残疾人福利性单位声明函如未提供则不能享受残疾人福利性单位及监狱企业产品的价格给予10%的扣除；用扣除后的价格作为有效报价参与评审的优惠政策。</w:t>
      </w:r>
      <w:r/>
    </w:p>
    <w:p>
      <w:pPr>
        <w:ind w:firstLine="482"/>
        <w:spacing w:line="360" w:lineRule="auto"/>
        <w:widowControl/>
        <w:tabs>
          <w:tab w:val="left" w:pos="0" w:leader="none"/>
          <w:tab w:val="left" w:pos="993"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6、政府采购政策功能落实</w:t>
      </w:r>
      <w:r/>
    </w:p>
    <w:p>
      <w:pPr>
        <w:ind w:firstLine="482"/>
        <w:spacing w:line="360" w:lineRule="auto"/>
        <w:widowControl/>
        <w:tabs>
          <w:tab w:val="left" w:pos="0" w:leader="none"/>
          <w:tab w:val="left" w:pos="993"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政府采购促进中小企业发展管理办法》的通知（财库〔2020〕46号）、《财政部、司法部关于政府采购支持监狱企业发展有关问题的通知》（财库〔2014〕68号）、《三部门联合发布关于促进残疾人就业政府采购政策的通知》（财库〔2017〕141号）的要求。</w:t>
      </w:r>
      <w:r/>
    </w:p>
    <w:p>
      <w:pPr>
        <w:ind w:firstLine="482"/>
        <w:spacing w:line="360" w:lineRule="auto"/>
        <w:widowControl/>
        <w:tabs>
          <w:tab w:val="left" w:pos="0" w:leader="none"/>
          <w:tab w:val="left" w:pos="993" w:leader="none"/>
          <w:tab w:val="left" w:pos="113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7、</w:t>
      </w:r>
      <w:r>
        <w:rPr>
          <w:rFonts w:hint="default" w:ascii="宋体" w:hAnsi="宋体" w:eastAsia="宋体" w:cs="宋体"/>
          <w:color w:val="auto"/>
          <w:sz w:val="24"/>
          <w:highlight w:val="none"/>
          <w:lang w:val="en-US" w:eastAsia="zh-CN"/>
        </w:rPr>
        <w:t xml:space="preserve">政府采购异常低价审查的</w:t>
      </w:r>
      <w:r>
        <w:rPr>
          <w:rFonts w:hint="eastAsia" w:ascii="宋体" w:hAnsi="宋体" w:eastAsia="宋体" w:cs="宋体"/>
          <w:color w:val="auto"/>
          <w:sz w:val="24"/>
          <w:highlight w:val="none"/>
          <w:lang w:val="en-US" w:eastAsia="zh-CN"/>
        </w:rPr>
        <w:t xml:space="preserve">实施</w:t>
      </w:r>
      <w:r/>
    </w:p>
    <w:p>
      <w:pPr>
        <w:ind w:firstLine="482"/>
        <w:spacing w:line="360" w:lineRule="auto"/>
        <w:widowControl/>
        <w:tabs>
          <w:tab w:val="left" w:pos="0" w:leader="none"/>
          <w:tab w:val="left" w:pos="993" w:leader="none"/>
          <w:tab w:val="left" w:pos="113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评审过程中出现下列情形之一的，</w:t>
      </w:r>
      <w:r>
        <w:rPr>
          <w:rFonts w:hint="eastAsia" w:ascii="宋体" w:hAnsi="宋体" w:eastAsia="宋体" w:cs="宋体"/>
          <w:color w:val="auto"/>
          <w:sz w:val="24"/>
          <w:highlight w:val="none"/>
          <w:lang w:val="en-US" w:eastAsia="zh-CN"/>
        </w:rPr>
        <w:t xml:space="preserve">谈判小组</w:t>
      </w:r>
      <w:r>
        <w:rPr>
          <w:rFonts w:hint="default" w:ascii="宋体" w:hAnsi="宋体" w:eastAsia="宋体" w:cs="宋体"/>
          <w:color w:val="auto"/>
          <w:sz w:val="24"/>
          <w:highlight w:val="none"/>
          <w:lang w:val="en-US" w:eastAsia="zh-CN"/>
        </w:rPr>
        <w:t xml:space="preserve">应当启动异常低价投标（响应）审查程序： </w:t>
      </w:r>
      <w:r/>
    </w:p>
    <w:p>
      <w:pPr>
        <w:ind w:firstLine="482"/>
        <w:spacing w:line="360" w:lineRule="auto"/>
        <w:widowControl/>
        <w:tabs>
          <w:tab w:val="left" w:pos="0" w:leader="none"/>
          <w:tab w:val="left" w:pos="993" w:leader="none"/>
          <w:tab w:val="left" w:pos="113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投标（响应）报价低于采购项目预算50%的，即投标（响应）报价&lt;采购项目预算×50%； </w:t>
      </w:r>
      <w:r/>
    </w:p>
    <w:p>
      <w:pPr>
        <w:ind w:firstLine="482"/>
        <w:spacing w:line="360" w:lineRule="auto"/>
        <w:widowControl/>
        <w:tabs>
          <w:tab w:val="left" w:pos="0" w:leader="none"/>
          <w:tab w:val="left" w:pos="993" w:leader="none"/>
          <w:tab w:val="left" w:pos="113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投标（响应）报价低于采购项目最高限价45%的，即投标（响应）报价&lt;采购项目最高限价×45%； </w:t>
      </w:r>
      <w:r/>
    </w:p>
    <w:p>
      <w:pPr>
        <w:ind w:firstLine="482"/>
        <w:spacing w:line="360" w:lineRule="auto"/>
        <w:widowControl/>
        <w:tabs>
          <w:tab w:val="left" w:pos="0" w:leader="none"/>
          <w:tab w:val="left" w:pos="993" w:leader="none"/>
          <w:tab w:val="left" w:pos="1134"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评审委员会认定的供应商报价过低、有可能影响产品质量或者不能诚信履约的其他情形。 </w:t>
      </w:r>
      <w:r/>
    </w:p>
    <w:p>
      <w:pPr>
        <w:ind w:firstLine="482"/>
        <w:spacing w:line="360" w:lineRule="auto"/>
        <w:widowControl/>
        <w:tabs>
          <w:tab w:val="left" w:pos="0" w:leader="none"/>
          <w:tab w:val="left" w:pos="993" w:leader="none"/>
          <w:tab w:val="left" w:pos="1134"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启动异常低价投标（响应）审查后，</w:t>
      </w:r>
      <w:r>
        <w:rPr>
          <w:rFonts w:hint="eastAsia" w:ascii="宋体" w:hAnsi="宋体" w:eastAsia="宋体" w:cs="宋体"/>
          <w:color w:val="auto"/>
          <w:sz w:val="24"/>
          <w:highlight w:val="none"/>
          <w:lang w:val="en-US" w:eastAsia="zh-CN"/>
        </w:rPr>
        <w:t xml:space="preserve">谈判小组</w:t>
      </w:r>
      <w:r>
        <w:rPr>
          <w:rFonts w:hint="default" w:ascii="宋体" w:hAnsi="宋体" w:eastAsia="宋体" w:cs="宋体"/>
          <w:color w:val="auto"/>
          <w:sz w:val="24"/>
          <w:highlight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color w:val="auto"/>
          <w:sz w:val="24"/>
          <w:highlight w:val="none"/>
          <w:lang w:val="en-US" w:eastAsia="zh-CN"/>
        </w:rPr>
        <w:t xml:space="preserve">谈判小组</w:t>
      </w:r>
      <w:r>
        <w:rPr>
          <w:rFonts w:hint="default" w:ascii="宋体" w:hAnsi="宋体" w:eastAsia="宋体" w:cs="宋体"/>
          <w:color w:val="auto"/>
          <w:sz w:val="24"/>
          <w:highlight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color w:val="auto"/>
          <w:sz w:val="24"/>
          <w:highlight w:val="none"/>
          <w:lang w:val="en-US" w:eastAsia="zh-CN"/>
        </w:rPr>
        <w:t xml:space="preserve">谈判小组</w:t>
      </w:r>
      <w:r>
        <w:rPr>
          <w:rFonts w:hint="default" w:ascii="宋体" w:hAnsi="宋体" w:eastAsia="宋体" w:cs="宋体"/>
          <w:color w:val="auto"/>
          <w:sz w:val="24"/>
          <w:highlight w:val="none"/>
          <w:lang w:val="en-US" w:eastAsia="zh-CN"/>
        </w:rPr>
        <w:t xml:space="preserve">应当将其作为无效投标（响应）处理。审查相关情况应当在评审报告中进行记录。</w:t>
      </w:r>
      <w:r/>
    </w:p>
    <w:p>
      <w:pPr>
        <w:jc w:val="left"/>
        <w:keepLines/>
        <w:keepNext/>
        <w:spacing w:line="420" w:lineRule="exact"/>
        <w:rPr>
          <w:rFonts w:ascii="宋体" w:cs="仿宋_GB2312"/>
          <w:b/>
          <w:bCs/>
          <w:color w:val="auto"/>
          <w:sz w:val="24"/>
          <w:szCs w:val="20"/>
          <w:highlight w:val="none"/>
        </w:rPr>
        <w:outlineLvl w:val="1"/>
      </w:pPr>
      <w:r>
        <w:rPr>
          <w:rFonts w:hint="eastAsia" w:ascii="宋体" w:hAnsi="宋体" w:cs="宋体"/>
          <w:b/>
          <w:bCs/>
          <w:color w:val="auto"/>
          <w:sz w:val="24"/>
          <w:highlight w:val="none"/>
        </w:rPr>
        <w:t xml:space="preserve">六、成交</w:t>
      </w:r>
      <w:r>
        <w:rPr>
          <w:rFonts w:hint="eastAsia" w:ascii="宋体" w:hAnsi="宋体" w:cs="仿宋_GB2312"/>
          <w:b/>
          <w:bCs/>
          <w:color w:val="auto"/>
          <w:sz w:val="24"/>
          <w:szCs w:val="20"/>
          <w:highlight w:val="none"/>
        </w:rPr>
        <w:t xml:space="preserve">供应商的确定</w:t>
      </w:r>
      <w:r/>
    </w:p>
    <w:p>
      <w:pPr>
        <w:ind w:firstLine="573"/>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磋商小组根据综合评分情况，按照评审得分由高到低顺序推荐3名成交候选供应商，并编写评审报告。符合本磋商文件第二章第2</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.1.2条情形的，可以推荐2名成交候选供应商。评审得分相同的，按照最后报价由低到高的顺序推荐。评审得分且最后报价相同的，按照技术指标优劣顺序推荐。</w:t>
      </w:r>
      <w:r/>
    </w:p>
    <w:p>
      <w:pPr>
        <w:ind w:firstLine="573"/>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采购人委托磋商小组直接确定排名第一的成交候选人为成交供应商。</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七、变更为其他方式采购的情形</w:t>
      </w:r>
      <w:r/>
    </w:p>
    <w:p>
      <w:pPr>
        <w:ind w:firstLine="480"/>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提交响应文件截止时间时参加磋商的供应商不足3家的，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color w:val="auto"/>
          <w:sz w:val="24"/>
          <w:szCs w:val="24"/>
          <w:highlight w:val="none"/>
          <w:lang w:val="zh-CN"/>
        </w:rPr>
        <w:t xml:space="preserve">磋商文件中对供应商资质、技术等要求，将作为</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方式采购的基本要求和依据。原已经参加磋商并符合要求的供应商，根据自愿原则，参加</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w:t>
      </w:r>
      <w:r>
        <w:rPr>
          <w:rFonts w:ascii="宋体" w:hAnsi="宋体"/>
          <w:b/>
          <w:color w:val="auto"/>
          <w:sz w:val="24"/>
          <w:szCs w:val="24"/>
          <w:highlight w:val="none"/>
        </w:rPr>
        <w:t xml:space="preserve">、出现下列情形之一的，竞争性磋商采购活动终止，发布项目终止公告并说明原因，重新开展采购活动：</w:t>
      </w:r>
      <w:r/>
    </w:p>
    <w:p>
      <w:pPr>
        <w:ind w:firstLine="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ascii="宋体" w:hAnsi="宋体" w:cs="宋体"/>
          <w:color w:val="auto"/>
          <w:sz w:val="24"/>
          <w:szCs w:val="24"/>
          <w:highlight w:val="none"/>
          <w:lang w:val="zh-CN"/>
        </w:rPr>
        <w:t xml:space="preserve">因情况变化，不再符合规定的竞争性磋商采购方式适用情形的；</w:t>
      </w:r>
      <w:r/>
    </w:p>
    <w:p>
      <w:pPr>
        <w:ind w:firstLine="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ascii="宋体" w:hAnsi="宋体" w:cs="宋体"/>
          <w:color w:val="auto"/>
          <w:sz w:val="24"/>
          <w:szCs w:val="24"/>
          <w:highlight w:val="none"/>
          <w:lang w:val="zh-CN"/>
        </w:rPr>
        <w:t xml:space="preserve">出现影响采购公正的违法、违规行为的；</w:t>
      </w:r>
      <w:r/>
    </w:p>
    <w:p>
      <w:pPr>
        <w:ind w:firstLine="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ascii="宋体" w:hAnsi="宋体" w:cs="宋体"/>
          <w:color w:val="auto"/>
          <w:sz w:val="24"/>
          <w:szCs w:val="24"/>
          <w:highlight w:val="none"/>
          <w:lang w:val="zh-CN"/>
        </w:rPr>
        <w:t xml:space="preserve">在采购过程中符合要求的供应商或者报价未超过采购预算的供应商不足3家的（市场竞争不充分的科研项目，以及需要扶持的科技成果转化项目除外）。</w:t>
      </w:r>
      <w:r/>
    </w:p>
    <w:p>
      <w:pPr>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九、</w:t>
      </w:r>
      <w:r>
        <w:rPr>
          <w:rFonts w:hint="eastAsia" w:ascii="宋体" w:hAnsi="宋体" w:cs="宋体"/>
          <w:b/>
          <w:bCs/>
          <w:color w:val="auto"/>
          <w:sz w:val="24"/>
          <w:highlight w:val="none"/>
          <w:lang w:val="zh-CN"/>
        </w:rPr>
        <w:t xml:space="preserve">公告成交结果</w:t>
      </w:r>
      <w:r/>
    </w:p>
    <w:p>
      <w:pPr>
        <w:ind w:firstLine="57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自确定成交供应商之日起2个工作日内，在江苏政府采购网公告成交结果，公告期限为1个工作日。</w:t>
      </w:r>
      <w:r/>
    </w:p>
    <w:p>
      <w:pPr>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zh-CN"/>
        </w:rPr>
        <w:t xml:space="preserve">发放成交通知书</w:t>
      </w:r>
      <w:r/>
    </w:p>
    <w:p>
      <w:pPr>
        <w:ind w:firstLine="57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公告成交结果的同时，交易中心向成交供应商发放成交通知书。</w:t>
      </w:r>
      <w:r/>
    </w:p>
    <w:p>
      <w:pPr>
        <w:ind w:firstLine="570"/>
        <w:spacing w:line="360" w:lineRule="auto"/>
        <w:rPr>
          <w:rFonts w:hint="eastAsia" w:ascii="宋体" w:hAnsi="宋体" w:cs="宋体"/>
          <w:b/>
          <w:bCs/>
          <w:color w:val="auto"/>
          <w:sz w:val="24"/>
          <w:highlight w:val="none"/>
          <w:lang w:val="zh-CN"/>
        </w:rPr>
      </w:pPr>
      <w:r>
        <w:rPr>
          <w:rFonts w:hint="eastAsia" w:ascii="宋体" w:hAnsi="宋体" w:cs="宋体"/>
          <w:color w:val="auto"/>
          <w:sz w:val="24"/>
          <w:highlight w:val="none"/>
          <w:lang w:val="zh-CN"/>
        </w:rPr>
        <w:t xml:space="preserve">成交通知书发出后，采购人不得违法改变成交结果，成交供应商无正当理由不得放弃成交。</w:t>
      </w:r>
      <w:r>
        <w:rPr>
          <w:rFonts w:hint="eastAsia" w:ascii="宋体" w:hAnsi="宋体" w:cs="宋体"/>
          <w:b/>
          <w:bCs/>
          <w:color w:val="auto"/>
          <w:sz w:val="24"/>
          <w:highlight w:val="none"/>
          <w:lang w:val="zh-CN"/>
        </w:rPr>
        <w:t xml:space="preserve">成交供应商领取成交通知书时须提供三份纸质版响应文件及壹份响应文件电子扫描件至代理机构处。</w:t>
      </w:r>
      <w:r/>
    </w:p>
    <w:p>
      <w:pPr>
        <w:rPr>
          <w:color w:val="auto"/>
          <w:highlight w:val="none"/>
          <w:lang w:val="zh-CN"/>
        </w:rPr>
      </w:pPr>
      <w:r>
        <w:rPr>
          <w:color w:val="auto"/>
          <w:highlight w:val="none"/>
          <w:lang w:val="zh-CN"/>
        </w:rPr>
      </w:r>
      <w:r/>
    </w:p>
    <w:p>
      <w:pPr>
        <w:pStyle w:val="1079"/>
        <w:rPr>
          <w:color w:val="auto"/>
          <w:highlight w:val="none"/>
          <w:lang w:val="zh-CN"/>
        </w:rPr>
      </w:pPr>
      <w:r>
        <w:rPr>
          <w:color w:val="auto"/>
          <w:highlight w:val="none"/>
          <w:lang w:val="zh-CN"/>
        </w:rPr>
      </w:r>
      <w:r/>
    </w:p>
    <w:p>
      <w:pPr>
        <w:ind w:firstLine="570"/>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r>
      <w:r/>
    </w:p>
    <w:p>
      <w:pPr>
        <w:ind w:firstLine="570"/>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第六章  </w:t>
      </w:r>
      <w:bookmarkEnd w:id="173"/>
      <w:r/>
      <w:bookmarkEnd w:id="174"/>
      <w:r/>
      <w:bookmarkEnd w:id="175"/>
      <w:r>
        <w:rPr>
          <w:rFonts w:hint="eastAsia" w:ascii="宋体" w:hAnsi="宋体" w:cs="宋体"/>
          <w:b/>
          <w:color w:val="auto"/>
          <w:sz w:val="30"/>
          <w:szCs w:val="30"/>
          <w:highlight w:val="none"/>
        </w:rPr>
        <w:t xml:space="preserve">响应文件格式</w:t>
      </w:r>
      <w:bookmarkStart w:id="182" w:name="_Hlt26955039"/>
      <w:r/>
      <w:bookmarkEnd w:id="182"/>
      <w:r/>
      <w:bookmarkStart w:id="183" w:name="_Hlt26671244"/>
      <w:r/>
      <w:bookmarkEnd w:id="183"/>
      <w:r/>
      <w:bookmarkStart w:id="184" w:name="_Toc49090576"/>
      <w:r/>
      <w:bookmarkStart w:id="185" w:name="_Toc26554094"/>
      <w:r/>
      <w:bookmarkStart w:id="186"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pStyle w:val="1079"/>
        <w:rPr>
          <w:rFonts w:eastAsia="宋体"/>
          <w:color w:val="auto"/>
          <w:highlight w:val="none"/>
        </w:rPr>
      </w:pPr>
      <w:r>
        <w:rPr>
          <w:rFonts w:eastAsia="宋体"/>
          <w:color w:val="auto"/>
          <w:highlight w:val="none"/>
        </w:rPr>
      </w:r>
      <w:r/>
    </w:p>
    <w:p>
      <w:pPr>
        <w:rPr>
          <w:color w:val="auto"/>
          <w:highlight w:val="none"/>
        </w:rPr>
      </w:pPr>
      <w:r>
        <w:rPr>
          <w:color w:val="auto"/>
          <w:highlight w:val="none"/>
        </w:rPr>
      </w:r>
      <w:r/>
    </w:p>
    <w:p>
      <w:pPr>
        <w:pStyle w:val="1079"/>
        <w:rPr>
          <w:rFonts w:eastAsia="宋体"/>
          <w:color w:val="auto"/>
          <w:highlight w:val="none"/>
        </w:rPr>
      </w:pPr>
      <w:r>
        <w:rPr>
          <w:rFonts w:eastAsia="宋体"/>
          <w:color w:val="auto"/>
          <w:highlight w:val="none"/>
        </w:rPr>
      </w:r>
      <w:r/>
    </w:p>
    <w:p>
      <w:pPr>
        <w:rPr>
          <w:color w:val="auto"/>
          <w:highlight w:val="none"/>
        </w:rPr>
      </w:pPr>
      <w:r>
        <w:rPr>
          <w:color w:val="auto"/>
          <w:highlight w:val="none"/>
        </w:rPr>
      </w:r>
      <w:r/>
    </w:p>
    <w:p>
      <w:pPr>
        <w:pStyle w:val="1079"/>
        <w:rPr>
          <w:rFonts w:eastAsia="宋体"/>
          <w:color w:val="auto"/>
          <w:highlight w:val="none"/>
        </w:rPr>
      </w:pPr>
      <w:r>
        <w:rPr>
          <w:rFonts w:eastAsia="宋体"/>
          <w:color w:val="auto"/>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pStyle w:val="1079"/>
        <w:rPr>
          <w:color w:val="auto"/>
          <w:highlight w:val="none"/>
        </w:rPr>
      </w:pPr>
      <w:r>
        <w:rPr>
          <w:color w:val="auto"/>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widowControl/>
        <w:rPr>
          <w:rFonts w:hint="eastAsia" w:ascii="宋体" w:hAnsi="宋体" w:cs="宋体"/>
          <w:color w:val="auto"/>
          <w:sz w:val="24"/>
          <w:szCs w:val="21"/>
          <w:highlight w:val="none"/>
        </w:rPr>
      </w:pPr>
      <w:r>
        <w:rPr>
          <w:rFonts w:hint="eastAsia" w:ascii="宋体" w:hAnsi="宋体" w:cs="宋体"/>
          <w:color w:val="auto"/>
          <w:sz w:val="24"/>
          <w:szCs w:val="21"/>
          <w:highlight w:val="none"/>
        </w:rPr>
        <w:br w:type="page" w:clear="all"/>
      </w:r>
      <w:r/>
    </w:p>
    <w:p>
      <w:pPr>
        <w:ind w:firstLine="643"/>
        <w:jc w:val="center"/>
        <w:spacing w:line="440" w:lineRule="exact"/>
        <w:rPr>
          <w:rFonts w:hint="eastAsia" w:ascii="宋体" w:hAnsi="宋体" w:cs="宋体"/>
          <w:color w:val="auto"/>
          <w:sz w:val="24"/>
          <w:szCs w:val="21"/>
          <w:highlight w:val="none"/>
        </w:rPr>
      </w:pPr>
      <w:r>
        <w:rPr>
          <w:rFonts w:hint="eastAsia" w:ascii="宋体" w:hAnsi="宋体"/>
          <w:b/>
          <w:bCs/>
          <w:color w:val="auto"/>
          <w:sz w:val="32"/>
          <w:szCs w:val="32"/>
          <w:highlight w:val="none"/>
        </w:rPr>
        <w:t xml:space="preserve">响应文件目录</w:t>
      </w:r>
      <w:r/>
    </w:p>
    <w:p>
      <w:pPr>
        <w:ind w:firstLine="480"/>
        <w:spacing w:line="440" w:lineRule="exact"/>
        <w:rPr>
          <w:rFonts w:hint="eastAsia" w:ascii="宋体" w:hAnsi="宋体"/>
          <w:b/>
          <w:bCs/>
          <w:color w:val="auto"/>
          <w:sz w:val="32"/>
          <w:szCs w:val="32"/>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1"/>
          <w:highlight w:val="none"/>
          <w:lang w:val="zh-CN"/>
        </w:rPr>
        <w:t xml:space="preserve">开标一览表</w:t>
      </w:r>
      <w:r/>
    </w:p>
    <w:p>
      <w:pPr>
        <w:ind w:firstLine="643"/>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资格审查材料</w:t>
      </w:r>
      <w:r/>
    </w:p>
    <w:p>
      <w:pPr>
        <w:ind w:firstLine="480"/>
        <w:spacing w:line="440" w:lineRule="exact"/>
        <w:rPr>
          <w:rFonts w:hint="eastAsia" w:ascii="宋体" w:hAnsi="宋体" w:cs="宋体"/>
          <w:color w:val="auto"/>
          <w:sz w:val="24"/>
          <w:szCs w:val="21"/>
          <w:highlight w:val="none"/>
          <w:lang w:val="zh-CN"/>
        </w:rPr>
      </w:pPr>
      <w:r>
        <w:rPr>
          <w:rFonts w:hint="eastAsia" w:ascii="宋体" w:hAnsi="宋体" w:cs="宋体"/>
          <w:color w:val="auto"/>
          <w:sz w:val="24"/>
          <w:szCs w:val="21"/>
          <w:highlight w:val="none"/>
        </w:rPr>
        <w:t xml:space="preserve">2</w:t>
      </w:r>
      <w:r>
        <w:rPr>
          <w:rFonts w:hint="eastAsia" w:ascii="宋体" w:hAnsi="宋体" w:cs="宋体"/>
          <w:color w:val="auto"/>
          <w:sz w:val="24"/>
          <w:szCs w:val="21"/>
          <w:highlight w:val="none"/>
          <w:lang w:val="zh-CN"/>
        </w:rPr>
        <w:t xml:space="preserve">.</w:t>
      </w:r>
      <w:r>
        <w:rPr>
          <w:rFonts w:hint="eastAsia" w:ascii="宋体" w:hAnsi="宋体" w:cs="宋体"/>
          <w:color w:val="auto"/>
          <w:sz w:val="24"/>
          <w:szCs w:val="21"/>
          <w:highlight w:val="none"/>
        </w:rPr>
        <w:t xml:space="preserve">供应商符合《政府采购法》第二十二条规定条件的承诺函</w:t>
      </w:r>
      <w:r>
        <w:rPr>
          <w:rFonts w:hint="eastAsia" w:ascii="宋体" w:hAnsi="宋体" w:cs="宋体"/>
          <w:color w:val="auto"/>
          <w:sz w:val="24"/>
          <w:szCs w:val="21"/>
          <w:highlight w:val="none"/>
          <w:lang w:val="zh-CN"/>
        </w:rPr>
        <w:t xml:space="preserve">（格式见附件1）；</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3.法定代表人（单位负责人）身份证明书及法定代表人（单位负责人）身份证复印件</w:t>
      </w:r>
      <w:r>
        <w:rPr>
          <w:rFonts w:hint="eastAsia" w:ascii="宋体" w:hAnsi="宋体" w:cs="宋体"/>
          <w:color w:val="auto"/>
          <w:sz w:val="24"/>
          <w:szCs w:val="21"/>
          <w:highlight w:val="none"/>
          <w:lang w:val="zh-CN"/>
        </w:rPr>
        <w:t xml:space="preserve">（格式见附件</w:t>
      </w:r>
      <w:r>
        <w:rPr>
          <w:rFonts w:hint="eastAsia" w:ascii="宋体" w:hAnsi="宋体" w:cs="宋体"/>
          <w:color w:val="auto"/>
          <w:sz w:val="24"/>
          <w:szCs w:val="21"/>
          <w:highlight w:val="none"/>
        </w:rPr>
        <w:t xml:space="preserve">2</w:t>
      </w:r>
      <w:r>
        <w:rPr>
          <w:rFonts w:hint="eastAsia" w:ascii="宋体" w:hAnsi="宋体" w:cs="宋体"/>
          <w:color w:val="auto"/>
          <w:sz w:val="24"/>
          <w:szCs w:val="21"/>
          <w:highlight w:val="none"/>
          <w:lang w:val="zh-CN"/>
        </w:rPr>
        <w:t xml:space="preserve">）</w:t>
      </w:r>
      <w:r>
        <w:rPr>
          <w:rFonts w:hint="eastAsia" w:ascii="宋体" w:hAnsi="宋体" w:cs="宋体"/>
          <w:color w:val="auto"/>
          <w:sz w:val="24"/>
          <w:szCs w:val="21"/>
          <w:highlight w:val="none"/>
        </w:rPr>
        <w:t xml:space="preserve">；</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4.法定代表人（单位负责人）授权委托书及委托代理人身份证复印件（如有授权）</w:t>
      </w:r>
      <w:r>
        <w:rPr>
          <w:rFonts w:hint="eastAsia" w:ascii="宋体" w:hAnsi="宋体" w:cs="宋体"/>
          <w:color w:val="auto"/>
          <w:sz w:val="24"/>
          <w:szCs w:val="21"/>
          <w:highlight w:val="none"/>
          <w:lang w:val="zh-CN"/>
        </w:rPr>
        <w:t xml:space="preserve">（格式见附件</w:t>
      </w:r>
      <w:r>
        <w:rPr>
          <w:rFonts w:hint="eastAsia" w:ascii="宋体" w:hAnsi="宋体" w:cs="宋体"/>
          <w:color w:val="auto"/>
          <w:sz w:val="24"/>
          <w:szCs w:val="21"/>
          <w:highlight w:val="none"/>
        </w:rPr>
        <w:t xml:space="preserve">3</w:t>
      </w:r>
      <w:r>
        <w:rPr>
          <w:rFonts w:hint="eastAsia" w:ascii="宋体" w:hAnsi="宋体" w:cs="宋体"/>
          <w:color w:val="auto"/>
          <w:sz w:val="24"/>
          <w:szCs w:val="21"/>
          <w:highlight w:val="none"/>
          <w:lang w:val="zh-CN"/>
        </w:rPr>
        <w:t xml:space="preserve">）</w:t>
      </w:r>
      <w:r>
        <w:rPr>
          <w:rFonts w:hint="eastAsia" w:ascii="宋体" w:hAnsi="宋体" w:cs="宋体"/>
          <w:color w:val="auto"/>
          <w:sz w:val="24"/>
          <w:szCs w:val="21"/>
          <w:highlight w:val="none"/>
        </w:rPr>
        <w:t xml:space="preserve">； </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5.法人或者其他组织的营业执照等证明文件；自然人的身份证明；</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6.保险业务许可证；</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7.供应商提供投标企业所在地社保机构出具的由企业为委托代理人缴纳的</w:t>
      </w:r>
      <w:r>
        <w:rPr>
          <w:rFonts w:hint="eastAsia" w:ascii="宋体" w:hAnsi="宋体" w:cs="宋体"/>
          <w:color w:val="auto"/>
          <w:sz w:val="24"/>
          <w:szCs w:val="21"/>
          <w:highlight w:val="none"/>
          <w:lang w:eastAsia="zh-CN"/>
        </w:rPr>
        <w:t xml:space="preserve">投标截止时间前三个月（不含投标截止时间当月）中至少一个月的养老保险缴纳证明材料</w:t>
      </w:r>
      <w:r>
        <w:rPr>
          <w:rFonts w:hint="eastAsia" w:ascii="宋体" w:hAnsi="宋体" w:cs="宋体"/>
          <w:color w:val="auto"/>
          <w:sz w:val="24"/>
          <w:szCs w:val="21"/>
          <w:highlight w:val="none"/>
        </w:rPr>
        <w:t xml:space="preserve">；（注 ：委托代理人为法定代表人（单位负责人）的，无需提供养老保险缴费证明）</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8.</w:t>
      </w:r>
      <w:r>
        <w:rPr>
          <w:rFonts w:hint="eastAsia" w:ascii="宋体" w:hAnsi="宋体" w:cs="宋体"/>
          <w:color w:val="auto"/>
          <w:sz w:val="24"/>
          <w:szCs w:val="24"/>
          <w:highlight w:val="none"/>
        </w:rPr>
        <w:t xml:space="preserve">提供2024年度由会计师事务所（或者审计机构）出具的财务报告；（总公司的财务报告，成立不满一年不需提供）；</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9.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10.具备履行合同所必需的设备和专业技术能力的书面声明</w:t>
      </w:r>
      <w:r>
        <w:rPr>
          <w:rFonts w:hint="eastAsia" w:ascii="宋体" w:hAnsi="宋体" w:cs="宋体"/>
          <w:color w:val="auto"/>
          <w:sz w:val="24"/>
          <w:szCs w:val="21"/>
          <w:highlight w:val="none"/>
          <w:lang w:val="zh-CN"/>
        </w:rPr>
        <w:t xml:space="preserve">（格式见附件</w:t>
      </w:r>
      <w:r>
        <w:rPr>
          <w:rFonts w:hint="eastAsia" w:ascii="宋体" w:hAnsi="宋体" w:cs="宋体"/>
          <w:color w:val="auto"/>
          <w:sz w:val="24"/>
          <w:szCs w:val="21"/>
          <w:highlight w:val="none"/>
        </w:rPr>
        <w:t xml:space="preserve">4</w:t>
      </w:r>
      <w:r>
        <w:rPr>
          <w:rFonts w:hint="eastAsia" w:ascii="宋体" w:hAnsi="宋体" w:cs="宋体"/>
          <w:color w:val="auto"/>
          <w:sz w:val="24"/>
          <w:szCs w:val="21"/>
          <w:highlight w:val="none"/>
          <w:lang w:val="zh-CN"/>
        </w:rPr>
        <w:t xml:space="preserve">）</w:t>
      </w:r>
      <w:r>
        <w:rPr>
          <w:rFonts w:hint="eastAsia" w:ascii="宋体" w:hAnsi="宋体" w:cs="宋体"/>
          <w:color w:val="auto"/>
          <w:sz w:val="24"/>
          <w:szCs w:val="21"/>
          <w:highlight w:val="none"/>
        </w:rPr>
        <w:t xml:space="preserve">；</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11.参加政府采购活动前 3 年内在经营活动中没有重大违法记录的书面声明</w:t>
      </w:r>
      <w:r>
        <w:rPr>
          <w:rFonts w:hint="eastAsia" w:ascii="宋体" w:hAnsi="宋体" w:cs="宋体"/>
          <w:color w:val="auto"/>
          <w:sz w:val="24"/>
          <w:szCs w:val="21"/>
          <w:highlight w:val="none"/>
          <w:lang w:val="zh-CN"/>
        </w:rPr>
        <w:t xml:space="preserve">（格式见附件</w:t>
      </w:r>
      <w:r>
        <w:rPr>
          <w:rFonts w:hint="eastAsia" w:ascii="宋体" w:hAnsi="宋体" w:cs="宋体"/>
          <w:color w:val="auto"/>
          <w:sz w:val="24"/>
          <w:szCs w:val="21"/>
          <w:highlight w:val="none"/>
        </w:rPr>
        <w:t xml:space="preserve">5</w:t>
      </w:r>
      <w:r>
        <w:rPr>
          <w:rFonts w:hint="eastAsia" w:ascii="宋体" w:hAnsi="宋体" w:cs="宋体"/>
          <w:color w:val="auto"/>
          <w:sz w:val="24"/>
          <w:szCs w:val="21"/>
          <w:highlight w:val="none"/>
          <w:lang w:val="zh-CN"/>
        </w:rPr>
        <w:t xml:space="preserve">）</w:t>
      </w:r>
      <w:r>
        <w:rPr>
          <w:rFonts w:hint="eastAsia" w:ascii="宋体" w:hAnsi="宋体" w:cs="宋体"/>
          <w:color w:val="auto"/>
          <w:sz w:val="24"/>
          <w:szCs w:val="21"/>
          <w:highlight w:val="none"/>
        </w:rPr>
        <w:t xml:space="preserve">；</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12.供应商信用承诺书；（格式见附件6）</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13.投标人须将本项目中40%比例分包至一家或多家中小企业（提供承诺书，承诺书格式自拟）</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14.投标人认为其他必要的材料。</w:t>
      </w:r>
      <w:r/>
    </w:p>
    <w:p>
      <w:pPr>
        <w:spacing w:line="440" w:lineRule="exact"/>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w:t>
      </w: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zh-CN"/>
        </w:rPr>
        <w:t xml:space="preserve">符合性条件材料</w:t>
      </w:r>
      <w:r/>
    </w:p>
    <w:p>
      <w:pPr>
        <w:ind w:firstLine="480"/>
        <w:spacing w:line="440" w:lineRule="exact"/>
        <w:rPr>
          <w:rFonts w:hint="eastAsia" w:ascii="宋体" w:hAnsi="宋体" w:cs="宋体"/>
          <w:color w:val="auto"/>
          <w:sz w:val="24"/>
          <w:szCs w:val="21"/>
          <w:highlight w:val="none"/>
          <w:lang w:val="zh-CN"/>
        </w:rPr>
      </w:pPr>
      <w:r>
        <w:rPr>
          <w:rFonts w:hint="eastAsia" w:ascii="宋体" w:hAnsi="宋体" w:cs="宋体"/>
          <w:color w:val="auto"/>
          <w:sz w:val="24"/>
          <w:szCs w:val="21"/>
          <w:highlight w:val="none"/>
        </w:rPr>
        <w:t xml:space="preserve">1</w:t>
      </w:r>
      <w:r>
        <w:rPr>
          <w:rFonts w:hint="eastAsia" w:ascii="宋体" w:hAnsi="宋体" w:cs="宋体"/>
          <w:color w:val="auto"/>
          <w:sz w:val="24"/>
          <w:szCs w:val="21"/>
          <w:highlight w:val="none"/>
          <w:lang w:val="zh-CN"/>
        </w:rPr>
        <w:t xml:space="preserve">.磋商响应函；（格式见附件</w:t>
      </w:r>
      <w:r>
        <w:rPr>
          <w:rFonts w:hint="eastAsia" w:ascii="宋体" w:hAnsi="宋体" w:cs="宋体"/>
          <w:color w:val="auto"/>
          <w:sz w:val="24"/>
          <w:szCs w:val="21"/>
          <w:highlight w:val="none"/>
        </w:rPr>
        <w:t xml:space="preserve">7</w:t>
      </w:r>
      <w:r>
        <w:rPr>
          <w:rFonts w:hint="eastAsia" w:ascii="宋体" w:hAnsi="宋体" w:cs="宋体"/>
          <w:color w:val="auto"/>
          <w:sz w:val="24"/>
          <w:szCs w:val="21"/>
          <w:highlight w:val="none"/>
          <w:lang w:val="zh-CN"/>
        </w:rPr>
        <w:t xml:space="preserve">）</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lang w:val="zh-CN"/>
        </w:rPr>
        <w:t xml:space="preserve">明细报价一览表；（格式见附件</w:t>
      </w:r>
      <w:r>
        <w:rPr>
          <w:rFonts w:hint="eastAsia" w:ascii="宋体" w:hAnsi="宋体" w:cs="宋体"/>
          <w:color w:val="auto"/>
          <w:sz w:val="24"/>
          <w:szCs w:val="21"/>
          <w:highlight w:val="none"/>
        </w:rPr>
        <w:t xml:space="preserve">8</w:t>
      </w:r>
      <w:r>
        <w:rPr>
          <w:rFonts w:hint="eastAsia" w:ascii="宋体" w:hAnsi="宋体" w:cs="宋体"/>
          <w:color w:val="auto"/>
          <w:sz w:val="24"/>
          <w:szCs w:val="21"/>
          <w:highlight w:val="none"/>
          <w:lang w:val="zh-CN"/>
        </w:rPr>
        <w:t xml:space="preserve">）</w:t>
      </w:r>
      <w:r/>
    </w:p>
    <w:p>
      <w:pPr>
        <w:ind w:firstLine="480"/>
        <w:spacing w:line="440" w:lineRule="exac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en-US" w:eastAsia="zh-CN"/>
        </w:rPr>
        <w:t xml:space="preserve">3</w:t>
      </w:r>
      <w:r>
        <w:rPr>
          <w:rFonts w:hint="eastAsia" w:ascii="宋体" w:hAnsi="宋体" w:cs="宋体"/>
          <w:color w:val="auto"/>
          <w:sz w:val="24"/>
          <w:szCs w:val="21"/>
          <w:highlight w:val="none"/>
        </w:rPr>
        <w:t xml:space="preserve">.技术要求响应及偏离表</w:t>
      </w:r>
      <w:r>
        <w:rPr>
          <w:rFonts w:hint="eastAsia" w:ascii="宋体" w:hAnsi="宋体" w:cs="宋体"/>
          <w:color w:val="auto"/>
          <w:sz w:val="24"/>
          <w:szCs w:val="21"/>
          <w:highlight w:val="none"/>
          <w:lang w:val="zh-CN"/>
        </w:rPr>
        <w:t xml:space="preserve">；（格式见附件</w:t>
      </w:r>
      <w:r>
        <w:rPr>
          <w:rFonts w:hint="eastAsia" w:ascii="宋体" w:hAnsi="宋体" w:cs="宋体"/>
          <w:color w:val="auto"/>
          <w:sz w:val="24"/>
          <w:szCs w:val="21"/>
          <w:highlight w:val="none"/>
        </w:rPr>
        <w:t xml:space="preserve">9</w:t>
      </w:r>
      <w:r>
        <w:rPr>
          <w:rFonts w:hint="eastAsia" w:ascii="宋体" w:hAnsi="宋体" w:cs="宋体"/>
          <w:color w:val="auto"/>
          <w:sz w:val="24"/>
          <w:szCs w:val="21"/>
          <w:highlight w:val="none"/>
          <w:lang w:val="zh-CN"/>
        </w:rPr>
        <w:t xml:space="preserve">）</w:t>
      </w:r>
      <w:r/>
    </w:p>
    <w:p>
      <w:pPr>
        <w:ind w:firstLine="480"/>
        <w:spacing w:line="440" w:lineRule="exact"/>
        <w:rPr>
          <w:rFonts w:hint="eastAsia" w:ascii="宋体" w:hAnsi="宋体" w:cs="宋体"/>
          <w:color w:val="auto"/>
          <w:sz w:val="24"/>
          <w:szCs w:val="21"/>
          <w:highlight w:val="none"/>
          <w:lang w:val="zh-CN"/>
        </w:rPr>
      </w:pPr>
      <w:r>
        <w:rPr>
          <w:rFonts w:hint="eastAsia" w:ascii="宋体" w:hAnsi="宋体" w:cs="宋体"/>
          <w:color w:val="auto"/>
          <w:sz w:val="24"/>
          <w:szCs w:val="21"/>
          <w:highlight w:val="none"/>
          <w:lang w:val="en-US" w:eastAsia="zh-CN"/>
        </w:rPr>
        <w:t xml:space="preserve">4</w:t>
      </w:r>
      <w:r>
        <w:rPr>
          <w:rFonts w:hint="eastAsia" w:ascii="宋体" w:hAnsi="宋体" w:cs="宋体"/>
          <w:color w:val="auto"/>
          <w:sz w:val="24"/>
          <w:szCs w:val="21"/>
          <w:highlight w:val="none"/>
        </w:rPr>
        <w:t xml:space="preserve">.商务要求响应及偏离表。</w:t>
      </w:r>
      <w:r>
        <w:rPr>
          <w:rFonts w:hint="eastAsia" w:ascii="宋体" w:hAnsi="宋体" w:cs="宋体"/>
          <w:color w:val="auto"/>
          <w:sz w:val="24"/>
          <w:szCs w:val="21"/>
          <w:highlight w:val="none"/>
          <w:lang w:val="zh-CN"/>
        </w:rPr>
        <w:t xml:space="preserve">（格式见附件</w:t>
      </w:r>
      <w:r>
        <w:rPr>
          <w:rFonts w:hint="eastAsia" w:ascii="宋体" w:hAnsi="宋体" w:cs="宋体"/>
          <w:color w:val="auto"/>
          <w:sz w:val="24"/>
          <w:szCs w:val="21"/>
          <w:highlight w:val="none"/>
        </w:rPr>
        <w:t xml:space="preserve">10</w:t>
      </w:r>
      <w:r>
        <w:rPr>
          <w:rFonts w:hint="eastAsia" w:ascii="宋体" w:hAnsi="宋体" w:cs="宋体"/>
          <w:color w:val="auto"/>
          <w:sz w:val="24"/>
          <w:szCs w:val="21"/>
          <w:highlight w:val="none"/>
          <w:lang w:val="zh-CN"/>
        </w:rPr>
        <w:t xml:space="preserve">）</w:t>
      </w:r>
      <w:r/>
    </w:p>
    <w:p>
      <w:pPr>
        <w:ind w:firstLine="643"/>
        <w:spacing w:line="440" w:lineRule="exact"/>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商务技术文件材料</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1</w:t>
      </w:r>
      <w:r>
        <w:rPr>
          <w:rFonts w:hint="eastAsia" w:ascii="宋体" w:hAnsi="宋体" w:cs="宋体"/>
          <w:color w:val="auto"/>
          <w:sz w:val="24"/>
          <w:szCs w:val="21"/>
          <w:highlight w:val="none"/>
        </w:rPr>
        <w:t xml:space="preserve">.</w:t>
      </w:r>
      <w:r>
        <w:rPr>
          <w:rFonts w:hint="eastAsia" w:ascii="宋体" w:hAnsi="宋体" w:cs="宋体"/>
          <w:color w:val="auto"/>
          <w:sz w:val="24"/>
          <w:szCs w:val="21"/>
          <w:highlight w:val="none"/>
          <w:lang w:val="zh-CN"/>
        </w:rPr>
        <w:t xml:space="preserve">磋商</w:t>
      </w:r>
      <w:r>
        <w:rPr>
          <w:rFonts w:hint="eastAsia" w:ascii="宋体" w:hAnsi="宋体" w:cs="宋体"/>
          <w:color w:val="auto"/>
          <w:sz w:val="24"/>
          <w:szCs w:val="21"/>
          <w:highlight w:val="none"/>
        </w:rPr>
        <w:t xml:space="preserve">人根据采购文件打分项，提交的材料</w:t>
      </w:r>
      <w:r/>
    </w:p>
    <w:p>
      <w:pPr>
        <w:spacing w:line="440" w:lineRule="exact"/>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w:t>
      </w: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zh-CN"/>
        </w:rPr>
        <w:t xml:space="preserve">报价折扣证明材料</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1</w:t>
      </w:r>
      <w:r>
        <w:rPr>
          <w:rFonts w:hint="eastAsia" w:ascii="宋体" w:hAnsi="宋体" w:cs="宋体"/>
          <w:color w:val="auto"/>
          <w:sz w:val="24"/>
          <w:szCs w:val="21"/>
          <w:highlight w:val="none"/>
        </w:rPr>
        <w:t xml:space="preserve">.小微企业声明函；</w:t>
      </w:r>
      <w:r>
        <w:rPr>
          <w:rFonts w:hint="eastAsia" w:ascii="宋体" w:hAnsi="宋体" w:cs="宋体"/>
          <w:bCs/>
          <w:color w:val="auto"/>
          <w:sz w:val="24"/>
          <w:highlight w:val="none"/>
          <w:lang w:val="zh-CN"/>
        </w:rPr>
        <w:t xml:space="preserve">（格式见附件</w:t>
      </w:r>
      <w:r>
        <w:rPr>
          <w:rFonts w:hint="eastAsia" w:ascii="宋体" w:hAnsi="宋体" w:cs="宋体"/>
          <w:bCs/>
          <w:color w:val="auto"/>
          <w:sz w:val="24"/>
          <w:highlight w:val="none"/>
        </w:rPr>
        <w:t xml:space="preserve">11</w:t>
      </w:r>
      <w:r>
        <w:rPr>
          <w:rFonts w:hint="eastAsia" w:ascii="宋体" w:hAnsi="宋体" w:cs="宋体"/>
          <w:bCs/>
          <w:color w:val="auto"/>
          <w:sz w:val="24"/>
          <w:highlight w:val="none"/>
          <w:lang w:val="zh-CN"/>
        </w:rPr>
        <w:t xml:space="preserve">）</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cs="宋体"/>
          <w:color w:val="auto"/>
          <w:sz w:val="24"/>
          <w:szCs w:val="21"/>
          <w:highlight w:val="none"/>
        </w:rPr>
        <w:t xml:space="preserve">.残疾人福利性单位声明函.</w:t>
      </w:r>
      <w:r>
        <w:rPr>
          <w:rFonts w:hint="eastAsia" w:ascii="宋体" w:hAnsi="宋体" w:cs="宋体"/>
          <w:bCs/>
          <w:color w:val="auto"/>
          <w:sz w:val="24"/>
          <w:highlight w:val="none"/>
          <w:lang w:val="zh-CN"/>
        </w:rPr>
        <w:t xml:space="preserve">（格式见附件</w:t>
      </w:r>
      <w:r>
        <w:rPr>
          <w:rFonts w:hint="eastAsia" w:ascii="宋体" w:hAnsi="宋体" w:cs="宋体"/>
          <w:bCs/>
          <w:color w:val="auto"/>
          <w:sz w:val="24"/>
          <w:highlight w:val="none"/>
        </w:rPr>
        <w:t xml:space="preserve">12</w:t>
      </w:r>
      <w:r>
        <w:rPr>
          <w:rFonts w:hint="eastAsia" w:ascii="宋体" w:hAnsi="宋体" w:cs="宋体"/>
          <w:bCs/>
          <w:color w:val="auto"/>
          <w:sz w:val="24"/>
          <w:highlight w:val="none"/>
          <w:lang w:val="zh-CN"/>
        </w:rPr>
        <w:t xml:space="preserve">）</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bookmarkEnd w:id="171"/>
      <w:r/>
      <w:bookmarkEnd w:id="172"/>
      <w:r/>
      <w:bookmarkEnd w:id="184"/>
      <w:r/>
      <w:bookmarkEnd w:id="185"/>
      <w:r/>
      <w:bookmarkEnd w:id="186"/>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spacing w:line="440" w:lineRule="exact"/>
        <w:rPr>
          <w:rFonts w:hint="eastAsia" w:ascii="宋体" w:hAnsi="宋体"/>
          <w:b/>
          <w:bCs/>
          <w:color w:val="auto"/>
          <w:sz w:val="24"/>
          <w:szCs w:val="21"/>
          <w:highlight w:val="none"/>
        </w:rPr>
      </w:pPr>
      <w:r>
        <w:rPr>
          <w:rFonts w:ascii="宋体" w:hAnsi="宋体"/>
          <w:color w:val="auto"/>
          <w:sz w:val="24"/>
          <w:szCs w:val="21"/>
          <w:highlight w:val="none"/>
        </w:rPr>
        <w:br w:type="page" w:clear="all"/>
      </w:r>
      <w:r>
        <w:rPr>
          <w:rFonts w:hint="eastAsia" w:ascii="宋体" w:hAnsi="宋体"/>
          <w:b/>
          <w:bCs/>
          <w:color w:val="auto"/>
          <w:sz w:val="24"/>
          <w:szCs w:val="21"/>
          <w:highlight w:val="none"/>
        </w:rPr>
        <w:t xml:space="preserve">格式附件如下：</w:t>
      </w:r>
      <w:r/>
    </w:p>
    <w:p>
      <w:pPr>
        <w:jc w:val="center"/>
        <w:keepLines/>
        <w:keepNext/>
        <w:spacing w:before="260" w:after="260" w:line="416"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r>
      <w:r/>
    </w:p>
    <w:p>
      <w:pPr>
        <w:jc w:val="center"/>
        <w:keepLines/>
        <w:keepNext/>
        <w:spacing w:before="260" w:after="260" w:line="416"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磋商人全称（加盖CA电子签章）：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磋商编号：                                   标段：</w:t>
      </w:r>
      <w:r/>
    </w:p>
    <w:tbl>
      <w:tblPr>
        <w:tblStyle w:val="8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投标报价</w:t>
            </w:r>
            <w:r/>
          </w:p>
        </w:tc>
      </w:tr>
      <w:tr>
        <w:trPr>
          <w:cantSplit/>
          <w:trHeight w:val="657"/>
        </w:trPr>
        <w:tc>
          <w:tcPr>
            <w:tcW w:w="8886"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元/台/年         </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46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附件1：</w:t>
      </w:r>
      <w:r/>
    </w:p>
    <w:p>
      <w:pPr>
        <w:pStyle w:val="1079"/>
        <w:rPr>
          <w:color w:val="auto"/>
          <w:highlight w:val="none"/>
        </w:rPr>
      </w:pPr>
      <w:r>
        <w:rPr>
          <w:color w:val="auto"/>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磋商人符合《政府采购法》第二十二条规定条件的声明函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附件2</w:t>
      </w:r>
      <w:r/>
    </w:p>
    <w:p>
      <w:pPr>
        <w:pStyle w:val="1163"/>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法定代表人（单位负责人）身份证明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职务，为法定代表人（单位负责人），特此证明。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6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注：提供法定代表人的身份证扫描件盖公章</w:t>
      </w:r>
      <w:r/>
    </w:p>
    <w:p>
      <w:pPr>
        <w:pStyle w:val="1079"/>
        <w:rPr>
          <w:color w:val="auto"/>
          <w:highlight w:val="none"/>
          <w:lang w:val="zh-CN"/>
        </w:rPr>
      </w:pPr>
      <w:r>
        <w:rPr>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附件3</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法定代表人（单位负责人）授权委托书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单位负责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代理人(被授权人):------</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授权单位法定代表人（单位负责人）（签字或盖章）：-----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079"/>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注：提供磋商代表本人身份证扫描件盖公章</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pStyle w:val="1079"/>
        <w:rPr>
          <w:color w:val="auto"/>
          <w:highlight w:val="none"/>
        </w:rPr>
      </w:pPr>
      <w:r>
        <w:rPr>
          <w:color w:val="auto"/>
          <w:highlight w:val="none"/>
        </w:rPr>
      </w:r>
      <w:r/>
    </w:p>
    <w:p>
      <w:pPr>
        <w:rPr>
          <w:color w:val="auto"/>
          <w:highlight w:val="none"/>
        </w:rPr>
      </w:pPr>
      <w:r>
        <w:rPr>
          <w:color w:val="auto"/>
          <w:highlight w:val="none"/>
        </w:rPr>
      </w:r>
      <w:r/>
    </w:p>
    <w:p>
      <w:pPr>
        <w:pStyle w:val="1079"/>
        <w:rPr>
          <w:color w:val="auto"/>
          <w:highlight w:val="none"/>
        </w:rPr>
      </w:pPr>
      <w:r>
        <w:rPr>
          <w:color w:val="auto"/>
          <w:highlight w:val="none"/>
        </w:rPr>
      </w:r>
      <w:r/>
    </w:p>
    <w:p>
      <w:pPr>
        <w:contextualSpacing/>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rPr>
        <w:t xml:space="preserve">4</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rPr>
        <w:t xml:space="preserve">                      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附件5         </w:t>
      </w:r>
      <w:r/>
    </w:p>
    <w:p>
      <w:pPr>
        <w:rPr>
          <w:color w:val="auto"/>
          <w:szCs w:val="21"/>
          <w:highlight w:val="none"/>
        </w:rPr>
      </w:pPr>
      <w:r>
        <w:rPr>
          <w:color w:val="auto"/>
          <w:szCs w:val="21"/>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rPr>
        <w:t xml:space="preserve">                      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360" w:lineRule="auto"/>
        <w:rPr>
          <w:rFonts w:hint="eastAsia" w:ascii="宋体" w:hAnsi="宋体" w:cs="宋体"/>
          <w:bCs/>
          <w:color w:val="auto"/>
          <w:sz w:val="24"/>
          <w:highlight w:val="none"/>
          <w:lang w:bidi="ar"/>
        </w:rPr>
      </w:pPr>
      <w:r>
        <w:rPr>
          <w:rFonts w:hint="eastAsia" w:ascii="黑体" w:hAnsi="黑体" w:eastAsia="黑体"/>
          <w:i/>
          <w:color w:val="auto"/>
          <w:sz w:val="32"/>
          <w:szCs w:val="32"/>
          <w:highlight w:val="none"/>
          <w:u w:val="single"/>
        </w:rPr>
        <w:br w:type="page" w:clear="all"/>
      </w:r>
      <w:r>
        <w:rPr>
          <w:rFonts w:hint="eastAsia" w:ascii="宋体" w:hAnsi="宋体" w:cs="宋体"/>
          <w:bCs/>
          <w:color w:val="auto"/>
          <w:sz w:val="24"/>
          <w:highlight w:val="none"/>
          <w:lang w:bidi="ar"/>
        </w:rPr>
        <w:t xml:space="preserve">附件6</w:t>
      </w:r>
      <w:r/>
    </w:p>
    <w:p>
      <w:pPr>
        <w:jc w:val="center"/>
        <w:spacing w:line="360" w:lineRule="auto"/>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供应商信用承诺书</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供应商全称(盖公章)：</w:t>
      </w:r>
      <w:r/>
    </w:p>
    <w:p>
      <w:pPr>
        <w:ind w:firstLine="2640"/>
        <w:spacing w:line="360" w:lineRule="auto"/>
        <w:rPr>
          <w:rFonts w:hint="eastAsia" w:ascii="宋体" w:hAnsi="宋体" w:cs="宋体"/>
          <w:color w:val="auto"/>
          <w:sz w:val="24"/>
          <w:highlight w:val="none"/>
          <w:u w:val="single"/>
          <w:lang w:val="zh-CN"/>
        </w:rPr>
      </w:pPr>
      <w:r>
        <w:rPr>
          <w:rFonts w:hint="eastAsia" w:ascii="宋体" w:hAnsi="宋体" w:cs="宋体"/>
          <w:color w:val="auto"/>
          <w:sz w:val="24"/>
          <w:highlight w:val="none"/>
          <w:lang w:val="zh-CN" w:bidi="ar"/>
        </w:rPr>
        <w:t xml:space="preserve">法定代表人</w:t>
      </w:r>
      <w:r>
        <w:rPr>
          <w:rFonts w:hint="eastAsia" w:ascii="宋体" w:hAnsi="宋体" w:cs="宋体"/>
          <w:color w:val="auto"/>
          <w:sz w:val="24"/>
          <w:highlight w:val="none"/>
        </w:rPr>
        <w:t xml:space="preserve">（单位负责人）</w:t>
      </w:r>
      <w:r>
        <w:rPr>
          <w:rFonts w:hint="eastAsia" w:ascii="宋体" w:hAnsi="宋体" w:cs="宋体"/>
          <w:color w:val="auto"/>
          <w:sz w:val="24"/>
          <w:highlight w:val="none"/>
          <w:lang w:val="zh-CN" w:bidi="ar"/>
        </w:rPr>
        <w:t xml:space="preserve">（签字或盖章）：</w:t>
      </w:r>
      <w:r/>
    </w:p>
    <w:p>
      <w:pPr>
        <w:ind w:firstLine="2640"/>
        <w:spacing w:line="360" w:lineRule="auto"/>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t xml:space="preserve">时间：  年  月   日</w:t>
      </w:r>
      <w:r/>
    </w:p>
    <w:p>
      <w:pPr>
        <w:jc w:val="left"/>
        <w:widowControl/>
        <w:rPr>
          <w:rFonts w:ascii="仿宋_GB2312"/>
          <w:color w:val="auto"/>
          <w:sz w:val="24"/>
          <w:szCs w:val="20"/>
          <w:highlight w:val="none"/>
          <w:lang w:val="zh-CN" w:bidi="ar"/>
        </w:rPr>
      </w:pPr>
      <w:r>
        <w:rPr>
          <w:color w:val="auto"/>
          <w:highlight w:val="none"/>
          <w:lang w:val="zh-CN" w:bidi="ar"/>
        </w:rPr>
        <w:br w:type="page" w:clear="all"/>
      </w:r>
      <w:r/>
    </w:p>
    <w:p>
      <w:pPr>
        <w:pStyle w:val="1079"/>
        <w:rPr>
          <w:rFonts w:eastAsia="宋体"/>
          <w:color w:val="auto"/>
          <w:highlight w:val="none"/>
          <w:lang w:val="zh-CN" w:bidi="ar"/>
        </w:rPr>
      </w:pPr>
      <w:r>
        <w:rPr>
          <w:rFonts w:eastAsia="宋体"/>
          <w:color w:val="auto"/>
          <w:highlight w:val="none"/>
          <w:lang w:val="zh-CN" w:bidi="ar"/>
        </w:rPr>
      </w:r>
      <w:r/>
    </w:p>
    <w:p>
      <w:pPr>
        <w:keepLines/>
        <w:keepNext/>
        <w:spacing w:before="260" w:after="260" w:line="416" w:lineRule="auto"/>
        <w:rPr>
          <w:rFonts w:hint="eastAsia" w:ascii="宋体" w:hAnsi="宋体" w:cs="宋体"/>
          <w:color w:val="auto"/>
          <w:sz w:val="24"/>
          <w:highlight w:val="none"/>
        </w:rPr>
        <w:outlineLvl w:val="1"/>
      </w:pPr>
      <w:r>
        <w:rPr>
          <w:rFonts w:hint="eastAsia" w:ascii="宋体" w:hAnsi="宋体" w:cs="宋体"/>
          <w:color w:val="auto"/>
          <w:sz w:val="24"/>
          <w:highlight w:val="none"/>
        </w:rPr>
        <w:t xml:space="preserve">附件7    </w:t>
      </w:r>
      <w:r/>
    </w:p>
    <w:p>
      <w:pPr>
        <w:jc w:val="center"/>
        <w:keepLines/>
        <w:keepNext/>
        <w:spacing w:before="260" w:after="260" w:line="416" w:lineRule="auto"/>
        <w:rPr>
          <w:rFonts w:hint="eastAsia" w:ascii="宋体" w:hAnsi="宋体" w:cs="宋体"/>
          <w:b/>
          <w:color w:val="auto"/>
          <w:sz w:val="24"/>
          <w:highlight w:val="none"/>
          <w:lang w:bidi="ar"/>
        </w:rPr>
        <w:outlineLvl w:val="1"/>
      </w:pPr>
      <w:r>
        <w:rPr>
          <w:rFonts w:hint="eastAsia" w:ascii="宋体" w:hAnsi="宋体" w:cs="宋体"/>
          <w:b/>
          <w:color w:val="auto"/>
          <w:sz w:val="24"/>
          <w:highlight w:val="none"/>
          <w:lang w:bidi="ar"/>
        </w:rPr>
        <w:t xml:space="preserve">磋商响应函</w:t>
      </w:r>
      <w:r/>
    </w:p>
    <w:p>
      <w:pPr>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contextualSpacing/>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spacing w:line="300" w:lineRule="auto"/>
        <w:tabs>
          <w:tab w:val="left" w:pos="1260" w:leader="none"/>
        </w:tabs>
        <w:rPr>
          <w:rFonts w:hint="eastAsia" w:ascii="宋体" w:hAnsi="宋体" w:cs="宋体"/>
          <w:b/>
          <w:color w:val="auto"/>
          <w:sz w:val="24"/>
          <w:highlight w:val="none"/>
        </w:rPr>
      </w:pPr>
      <w:r>
        <w:rPr>
          <w:rFonts w:hint="eastAsia" w:ascii="宋体" w:hAnsi="宋体" w:cs="宋体"/>
          <w:color w:val="auto"/>
          <w:sz w:val="24"/>
          <w:highlight w:val="none"/>
        </w:rPr>
        <w:t xml:space="preserve">附件8</w:t>
      </w:r>
      <w:r/>
    </w:p>
    <w:p>
      <w:pPr>
        <w:pStyle w:val="1156"/>
        <w:ind w:firstLine="0"/>
        <w:jc w:val="center"/>
        <w:rPr>
          <w:rFonts w:hint="eastAsia" w:ascii="宋体" w:hAnsi="宋体"/>
          <w:b/>
          <w:color w:val="auto"/>
          <w:sz w:val="30"/>
          <w:szCs w:val="30"/>
          <w:highlight w:val="none"/>
          <w:lang w:val="en-US"/>
        </w:rPr>
      </w:pPr>
      <w:r>
        <w:rPr>
          <w:rFonts w:hint="eastAsia" w:ascii="宋体" w:hAnsi="宋体"/>
          <w:b/>
          <w:color w:val="auto"/>
          <w:sz w:val="30"/>
          <w:szCs w:val="30"/>
          <w:highlight w:val="none"/>
        </w:rPr>
        <w:t xml:space="preserve">明细报价一览表</w:t>
      </w:r>
      <w:r/>
    </w:p>
    <w:tbl>
      <w:tblPr>
        <w:tblStyle w:val="879"/>
        <w:tblW w:w="9799" w:type="dxa"/>
        <w:tblInd w:w="-8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4249"/>
        <w:gridCol w:w="1430"/>
        <w:gridCol w:w="1842"/>
      </w:tblGrid>
      <w:tr>
        <w:trPr>
          <w:trHeight w:val="1154"/>
        </w:trPr>
        <w:tc>
          <w:tcPr>
            <w:tcW w:w="2278" w:type="dxa"/>
            <w:vAlign w:val="center"/>
            <w:textDirection w:val="lrTb"/>
            <w:noWrap/>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服务项目</w:t>
            </w:r>
            <w:r/>
          </w:p>
        </w:tc>
        <w:tc>
          <w:tcPr>
            <w:tcW w:w="4249" w:type="dxa"/>
            <w:vAlign w:val="center"/>
            <w:textDirection w:val="lrTb"/>
            <w:noWrap/>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服务说明</w:t>
            </w:r>
            <w:r/>
          </w:p>
        </w:tc>
        <w:tc>
          <w:tcPr>
            <w:tcW w:w="1430" w:type="dxa"/>
            <w:vAlign w:val="center"/>
            <w:textDirection w:val="lrTb"/>
            <w:noWrap/>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数量(台）</w:t>
            </w:r>
            <w:r/>
          </w:p>
        </w:tc>
        <w:tc>
          <w:tcPr>
            <w:tcW w:w="1842" w:type="dxa"/>
            <w:vAlign w:val="center"/>
            <w:textDirection w:val="lrTb"/>
            <w:noWrap/>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综合单价报价（元/台/年）</w:t>
            </w:r>
            <w:r/>
          </w:p>
        </w:tc>
      </w:tr>
      <w:tr>
        <w:trPr>
          <w:trHeight w:val="1228" w:hRule="exact"/>
        </w:trPr>
        <w:tc>
          <w:tcPr>
            <w:tcW w:w="2278" w:type="dxa"/>
            <w:vAlign w:val="center"/>
            <w:textDirection w:val="lrTb"/>
            <w:noWrap/>
          </w:tcPr>
          <w:p>
            <w:pPr>
              <w:jc w:val="left"/>
              <w:spacing w:line="360" w:lineRule="auto"/>
              <w:widowControl/>
              <w:rPr>
                <w:rFonts w:hint="eastAsia" w:ascii="宋体" w:hAnsi="宋体"/>
                <w:color w:val="auto"/>
                <w:szCs w:val="20"/>
                <w:highlight w:val="none"/>
              </w:rPr>
            </w:pPr>
            <w:r>
              <w:rPr>
                <w:rFonts w:hint="eastAsia" w:ascii="宋体" w:hAnsi="宋体" w:cs="宋体"/>
                <w:color w:val="auto"/>
                <w:sz w:val="24"/>
                <w:highlight w:val="none"/>
              </w:rPr>
              <w:t xml:space="preserve">电梯维保费用损失补偿保险服务</w:t>
            </w:r>
            <w:r/>
          </w:p>
        </w:tc>
        <w:tc>
          <w:tcPr>
            <w:tcW w:w="4249" w:type="dxa"/>
            <w:vAlign w:val="center"/>
            <w:textDirection w:val="lrTb"/>
            <w:noWrap w:val="false"/>
          </w:tcPr>
          <w:p>
            <w:pPr>
              <w:widowControl/>
              <w:rPr>
                <w:rFonts w:hint="eastAsia" w:ascii="宋体" w:hAnsi="宋体"/>
                <w:color w:val="auto"/>
                <w:szCs w:val="20"/>
                <w:highlight w:val="none"/>
              </w:rPr>
            </w:pPr>
            <w:r>
              <w:rPr>
                <w:rFonts w:hint="eastAsia" w:ascii="宋体" w:hAnsi="宋体" w:cs="宋体"/>
                <w:color w:val="auto"/>
                <w:sz w:val="24"/>
                <w:szCs w:val="24"/>
                <w:highlight w:val="none"/>
              </w:rPr>
              <w:t xml:space="preserve">被保险电梯在日常使用过程中产生的日常维护保养费用</w:t>
            </w:r>
            <w:r/>
          </w:p>
        </w:tc>
        <w:tc>
          <w:tcPr>
            <w:tcW w:w="1430" w:type="dxa"/>
            <w:vAlign w:val="center"/>
            <w:textDirection w:val="lrTb"/>
            <w:noWrap/>
          </w:tcPr>
          <w:p>
            <w:pPr>
              <w:jc w:val="center"/>
              <w:spacing w:line="360" w:lineRule="auto"/>
              <w:widowControl/>
              <w:rPr>
                <w:rFonts w:hint="eastAsia" w:ascii="宋体" w:hAnsi="宋体"/>
                <w:color w:val="auto"/>
                <w:szCs w:val="20"/>
                <w:highlight w:val="none"/>
              </w:rPr>
            </w:pPr>
            <w:r>
              <w:rPr>
                <w:rFonts w:hint="eastAsia" w:ascii="宋体" w:hAnsi="宋体" w:cs="宋体"/>
                <w:color w:val="auto"/>
                <w:sz w:val="24"/>
                <w:szCs w:val="24"/>
                <w:highlight w:val="none"/>
              </w:rPr>
              <w:t xml:space="preserve">192</w:t>
            </w:r>
            <w:r/>
          </w:p>
        </w:tc>
        <w:tc>
          <w:tcPr>
            <w:tcW w:w="1842" w:type="dxa"/>
            <w:vAlign w:val="center"/>
            <w:textDirection w:val="lrTb"/>
            <w:noWrap/>
          </w:tcPr>
          <w:p>
            <w:pPr>
              <w:jc w:val="center"/>
              <w:widowControl/>
              <w:rPr>
                <w:rFonts w:hint="eastAsia" w:ascii="宋体" w:hAnsi="宋体"/>
                <w:color w:val="auto"/>
                <w:szCs w:val="20"/>
                <w:highlight w:val="none"/>
              </w:rPr>
            </w:pPr>
            <w:r>
              <w:rPr>
                <w:rFonts w:hint="eastAsia" w:ascii="宋体" w:hAnsi="宋体"/>
                <w:color w:val="auto"/>
                <w:szCs w:val="20"/>
                <w:highlight w:val="none"/>
              </w:rPr>
            </w:r>
            <w:r/>
          </w:p>
        </w:tc>
      </w:tr>
      <w:tr>
        <w:trPr>
          <w:trHeight w:val="4821"/>
        </w:trPr>
        <w:tc>
          <w:tcPr>
            <w:tcW w:w="2278" w:type="dxa"/>
            <w:vAlign w:val="center"/>
            <w:textDirection w:val="lrTb"/>
            <w:noWrap/>
          </w:tcPr>
          <w:p>
            <w:pPr>
              <w:jc w:val="left"/>
              <w:spacing w:line="360" w:lineRule="auto"/>
              <w:widowControl/>
              <w:rPr>
                <w:rFonts w:hint="eastAsia" w:ascii="宋体" w:hAnsi="宋体"/>
                <w:color w:val="auto"/>
                <w:szCs w:val="20"/>
                <w:highlight w:val="none"/>
              </w:rPr>
            </w:pPr>
            <w:r>
              <w:rPr>
                <w:rFonts w:hint="eastAsia" w:ascii="宋体" w:hAnsi="宋体" w:cs="宋体"/>
                <w:color w:val="auto"/>
                <w:sz w:val="24"/>
                <w:highlight w:val="none"/>
              </w:rPr>
              <w:t xml:space="preserve">电梯维修费用损失补偿保险服务</w:t>
            </w:r>
            <w:r/>
          </w:p>
        </w:tc>
        <w:tc>
          <w:tcPr>
            <w:tcW w:w="4249"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保险电梯在日常使用过程中因存在安全事故隐患，或发生故障无法正常运行需要对电梯的零配件进行维修或更换的，被保险人为保证其安全运行所实际支出的电梯零部件维修费用、重置费用、人工费用等必要且合理的费用，保险人按照本保险合同的约定负责赔偿。</w:t>
            </w:r>
            <w:r/>
          </w:p>
        </w:tc>
        <w:tc>
          <w:tcPr>
            <w:tcW w:w="1430" w:type="dxa"/>
            <w:vAlign w:val="center"/>
            <w:textDirection w:val="lrTb"/>
            <w:noWrap/>
          </w:tcPr>
          <w:p>
            <w:pPr>
              <w:jc w:val="center"/>
              <w:spacing w:line="360" w:lineRule="auto"/>
              <w:widowControl/>
              <w:rPr>
                <w:rFonts w:hint="eastAsia" w:ascii="宋体" w:hAnsi="宋体"/>
                <w:color w:val="auto"/>
                <w:szCs w:val="20"/>
                <w:highlight w:val="none"/>
              </w:rPr>
            </w:pPr>
            <w:r>
              <w:rPr>
                <w:rFonts w:hint="eastAsia" w:ascii="宋体" w:hAnsi="宋体" w:cs="宋体"/>
                <w:color w:val="auto"/>
                <w:sz w:val="24"/>
                <w:szCs w:val="24"/>
                <w:highlight w:val="none"/>
              </w:rPr>
              <w:t xml:space="preserve">192</w:t>
            </w:r>
            <w:r/>
          </w:p>
        </w:tc>
        <w:tc>
          <w:tcPr>
            <w:tcW w:w="1842" w:type="dxa"/>
            <w:vAlign w:val="center"/>
            <w:textDirection w:val="lrTb"/>
            <w:noWrap/>
          </w:tcPr>
          <w:p>
            <w:pPr>
              <w:jc w:val="center"/>
              <w:widowControl/>
              <w:rPr>
                <w:rFonts w:hint="eastAsia" w:ascii="宋体" w:hAnsi="宋体"/>
                <w:color w:val="auto"/>
                <w:szCs w:val="20"/>
                <w:highlight w:val="none"/>
              </w:rPr>
            </w:pPr>
            <w:r>
              <w:rPr>
                <w:rFonts w:hint="eastAsia" w:ascii="宋体" w:hAnsi="宋体"/>
                <w:color w:val="auto"/>
                <w:szCs w:val="20"/>
                <w:highlight w:val="none"/>
              </w:rPr>
            </w:r>
            <w:r/>
          </w:p>
        </w:tc>
      </w:tr>
      <w:tr>
        <w:trPr>
          <w:trHeight w:val="1340"/>
        </w:trPr>
        <w:tc>
          <w:tcPr>
            <w:tcW w:w="2278" w:type="dxa"/>
            <w:vAlign w:val="center"/>
            <w:textDirection w:val="lrTb"/>
            <w:noWrap/>
          </w:tcPr>
          <w:p>
            <w:pPr>
              <w:jc w:val="left"/>
              <w:spacing w:line="360" w:lineRule="auto"/>
              <w:widowControl/>
              <w:rPr>
                <w:rFonts w:hint="eastAsia" w:ascii="宋体" w:hAnsi="宋体"/>
                <w:color w:val="auto"/>
                <w:szCs w:val="20"/>
                <w:highlight w:val="none"/>
              </w:rPr>
            </w:pPr>
            <w:r>
              <w:rPr>
                <w:rFonts w:hint="eastAsia" w:ascii="宋体" w:hAnsi="宋体" w:cs="宋体"/>
                <w:color w:val="auto"/>
                <w:sz w:val="24"/>
                <w:szCs w:val="24"/>
                <w:highlight w:val="none"/>
              </w:rPr>
              <w:t xml:space="preserve">年检服务</w:t>
            </w:r>
            <w:r/>
          </w:p>
        </w:tc>
        <w:tc>
          <w:tcPr>
            <w:tcW w:w="4249"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按照安全技术规范要求在有效期届满前向相关机构提出定期检验的检验服务</w:t>
            </w:r>
            <w:r/>
          </w:p>
        </w:tc>
        <w:tc>
          <w:tcPr>
            <w:tcW w:w="1430" w:type="dxa"/>
            <w:vAlign w:val="center"/>
            <w:textDirection w:val="lrTb"/>
            <w:noWrap/>
          </w:tcPr>
          <w:p>
            <w:pPr>
              <w:jc w:val="center"/>
              <w:spacing w:line="360" w:lineRule="auto"/>
              <w:widowControl/>
              <w:rPr>
                <w:rFonts w:hint="eastAsia" w:ascii="宋体" w:hAnsi="宋体"/>
                <w:color w:val="auto"/>
                <w:szCs w:val="20"/>
                <w:highlight w:val="none"/>
              </w:rPr>
            </w:pPr>
            <w:r>
              <w:rPr>
                <w:rFonts w:hint="eastAsia" w:ascii="宋体" w:hAnsi="宋体" w:cs="宋体"/>
                <w:color w:val="auto"/>
                <w:sz w:val="24"/>
                <w:szCs w:val="24"/>
                <w:highlight w:val="none"/>
              </w:rPr>
              <w:t xml:space="preserve">192</w:t>
            </w:r>
            <w:r/>
          </w:p>
        </w:tc>
        <w:tc>
          <w:tcPr>
            <w:tcW w:w="1842" w:type="dxa"/>
            <w:vAlign w:val="center"/>
            <w:textDirection w:val="lrTb"/>
            <w:noWrap/>
          </w:tcPr>
          <w:p>
            <w:pPr>
              <w:jc w:val="center"/>
              <w:widowControl/>
              <w:rPr>
                <w:rFonts w:hint="eastAsia" w:ascii="宋体" w:hAnsi="宋体"/>
                <w:color w:val="auto"/>
                <w:szCs w:val="20"/>
                <w:highlight w:val="none"/>
              </w:rPr>
            </w:pPr>
            <w:r>
              <w:rPr>
                <w:rFonts w:hint="eastAsia" w:ascii="宋体" w:hAnsi="宋体"/>
                <w:color w:val="auto"/>
                <w:szCs w:val="20"/>
                <w:highlight w:val="none"/>
              </w:rPr>
            </w:r>
            <w:r/>
          </w:p>
        </w:tc>
      </w:tr>
      <w:tr>
        <w:trPr>
          <w:trHeight w:val="592"/>
        </w:trPr>
        <w:tc>
          <w:tcPr>
            <w:gridSpan w:val="3"/>
            <w:tcW w:w="7957"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olor w:val="auto"/>
                <w:szCs w:val="20"/>
                <w:highlight w:val="none"/>
              </w:rPr>
              <w:t xml:space="preserve">合计人民币（含税）：</w:t>
            </w:r>
            <w:r/>
          </w:p>
        </w:tc>
        <w:tc>
          <w:tcPr>
            <w:tcW w:w="1842" w:type="dxa"/>
            <w:vAlign w:val="center"/>
            <w:textDirection w:val="lrTb"/>
            <w:noWrap/>
          </w:tcPr>
          <w:p>
            <w:pPr>
              <w:jc w:val="center"/>
              <w:widowControl/>
              <w:rPr>
                <w:rFonts w:hint="eastAsia" w:ascii="宋体" w:hAnsi="宋体"/>
                <w:color w:val="auto"/>
                <w:szCs w:val="20"/>
                <w:highlight w:val="none"/>
              </w:rPr>
            </w:pPr>
            <w:r>
              <w:rPr>
                <w:rFonts w:hint="eastAsia" w:ascii="宋体" w:hAnsi="宋体"/>
                <w:color w:val="auto"/>
                <w:szCs w:val="20"/>
                <w:highlight w:val="none"/>
              </w:rPr>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注：</w:t>
      </w:r>
      <w:r>
        <w:rPr>
          <w:rFonts w:hint="eastAsia" w:ascii="宋体" w:hAnsi="宋体" w:cs="宋体"/>
          <w:b/>
          <w:color w:val="auto"/>
          <w:sz w:val="24"/>
          <w:szCs w:val="24"/>
          <w:highlight w:val="none"/>
          <w:u w:val="single"/>
        </w:rPr>
        <w:t xml:space="preserve">最后报价将在系统中提交，且最后报价为成交价。若成交，按照成交价与首次报价的下浮率同比例下浮计算的价格为成交价，且以此作为结算的依据</w:t>
      </w:r>
      <w:r>
        <w:rPr>
          <w:rFonts w:hint="eastAsia" w:ascii="宋体" w:hAnsi="宋体" w:cs="宋体"/>
          <w:color w:val="auto"/>
          <w:sz w:val="24"/>
          <w:szCs w:val="24"/>
          <w:highlight w:val="none"/>
          <w:u w:val="single"/>
        </w:rPr>
        <w:t xml:space="preserve">。</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right"/>
        <w:spacing w:line="360" w:lineRule="auto"/>
        <w:tabs>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法定代表人（或主要负责人）签字或盖章：</w:t>
      </w:r>
      <w:r/>
    </w:p>
    <w:p>
      <w:pPr>
        <w:ind w:left="420" w:firstLine="4320"/>
        <w:spacing w:line="360" w:lineRule="auto"/>
        <w:tabs>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单位公章：</w:t>
      </w:r>
      <w:r/>
    </w:p>
    <w:p>
      <w:pPr>
        <w:ind w:left="420" w:firstLine="4320"/>
        <w:spacing w:line="360" w:lineRule="auto"/>
        <w:tabs>
          <w:tab w:val="left" w:pos="945" w:leader="none"/>
        </w:tabs>
        <w:rPr>
          <w:rFonts w:hint="eastAsia" w:ascii="宋体" w:hAnsi="宋体" w:cs="宋体"/>
          <w:color w:val="auto"/>
          <w:sz w:val="24"/>
          <w:highlight w:val="none"/>
          <w:lang w:val="zh-CN"/>
        </w:rPr>
      </w:pPr>
      <w:r>
        <w:rPr>
          <w:rFonts w:hint="eastAsia" w:ascii="宋体" w:hAnsi="宋体" w:cs="宋体"/>
          <w:color w:val="auto"/>
          <w:sz w:val="24"/>
          <w:highlight w:val="none"/>
        </w:rPr>
        <w:t xml:space="preserve">日期：</w:t>
      </w:r>
      <w:r/>
    </w:p>
    <w:p>
      <w:pPr>
        <w:contextualSpacing/>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contextualSpacing/>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附件9</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技术要求响应及偏离表</w:t>
      </w:r>
      <w:r/>
    </w:p>
    <w:p>
      <w:pPr>
        <w:contextualSpacing/>
        <w:jc w:val="center"/>
        <w:spacing w:line="300" w:lineRule="auto"/>
        <w:rPr>
          <w:rFonts w:hint="eastAsia" w:ascii="宋体" w:hAnsi="宋体" w:cs="宋体"/>
          <w:b/>
          <w:color w:val="auto"/>
          <w:sz w:val="24"/>
          <w:highlight w:val="none"/>
        </w:rPr>
      </w:pPr>
      <w:r>
        <w:rPr>
          <w:rFonts w:hint="eastAsia" w:ascii="宋体" w:hAnsi="宋体" w:cs="宋体"/>
          <w:b/>
          <w:color w:val="auto"/>
          <w:sz w:val="24"/>
          <w:highlight w:val="none"/>
        </w:rPr>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采购文件要求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keepLines/>
        <w:keepNext/>
        <w:spacing w:before="260" w:after="260" w:line="416" w:lineRule="auto"/>
        <w:rPr>
          <w:rFonts w:hint="eastAsia" w:ascii="宋体" w:hAnsi="宋体" w:eastAsia="幼圆" w:cs="Arial"/>
          <w:b/>
          <w:color w:val="auto"/>
          <w:sz w:val="24"/>
          <w:szCs w:val="44"/>
          <w:highlight w:val="none"/>
        </w:rPr>
        <w:outlineLvl w:val="1"/>
      </w:pPr>
      <w:r>
        <w:rPr>
          <w:rFonts w:hint="eastAsia" w:ascii="宋体" w:hAnsi="宋体" w:eastAsia="幼圆" w:cs="Arial"/>
          <w:b/>
          <w:color w:val="auto"/>
          <w:sz w:val="24"/>
          <w:szCs w:val="44"/>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widowControl/>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p>
    <w:p>
      <w:pPr>
        <w:contextualSpacing/>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附件10</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商务要求响应及偏离表</w:t>
      </w:r>
      <w:r/>
    </w:p>
    <w:tbl>
      <w:tblPr>
        <w:tblStyle w:val="8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bookmarkStart w:id="187" w:name="_Hlt26609391"/>
            <w:r/>
            <w:bookmarkEnd w:id="187"/>
            <w:r/>
            <w:bookmarkStart w:id="188" w:name="_Hlt26671372"/>
            <w:r/>
            <w:bookmarkEnd w:id="188"/>
            <w:r/>
            <w:bookmarkStart w:id="189" w:name="_Hlt26955064"/>
            <w:r/>
            <w:bookmarkEnd w:id="189"/>
            <w:r/>
            <w:bookmarkStart w:id="190" w:name="_Hlt26580838"/>
            <w:r/>
            <w:bookmarkEnd w:id="190"/>
            <w:r/>
            <w:bookmarkStart w:id="191" w:name="_Hlt24879081"/>
            <w:r/>
            <w:bookmarkEnd w:id="191"/>
            <w:r/>
            <w:bookmarkStart w:id="192" w:name="_Hlt26671343"/>
            <w:r/>
            <w:bookmarkEnd w:id="192"/>
            <w:r/>
            <w:bookmarkStart w:id="193" w:name="_Hlt26955056"/>
            <w:r/>
            <w:bookmarkEnd w:id="193"/>
            <w:r/>
            <w:bookmarkStart w:id="194" w:name="_Hlt26782999"/>
            <w:r/>
            <w:bookmarkEnd w:id="194"/>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采购文件要求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黑体" w:hAnsi="黑体" w:eastAsia="黑体"/>
          <w:b/>
          <w:color w:val="auto"/>
          <w:sz w:val="32"/>
          <w:szCs w:val="32"/>
          <w:highlight w:val="none"/>
        </w:rPr>
      </w:pPr>
      <w:r>
        <w:rPr>
          <w:rFonts w:hint="eastAsia" w:ascii="宋体" w:hAnsi="宋体"/>
          <w:color w:val="auto"/>
          <w:sz w:val="24"/>
          <w:szCs w:val="24"/>
          <w:highlight w:val="none"/>
        </w:rPr>
        <w:t xml:space="preserve">注： 行数不够，可自行添加。</w:t>
      </w:r>
      <w:r/>
    </w:p>
    <w:p>
      <w:pPr>
        <w:jc w:val="center"/>
        <w:keepLines/>
        <w:keepNext/>
        <w:spacing w:before="260" w:after="260" w:line="416"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widowControl/>
        <w:rPr>
          <w:rFonts w:ascii="仿宋_GB2312" w:hAnsi="Arial"/>
          <w:color w:val="auto"/>
          <w:sz w:val="30"/>
          <w:szCs w:val="21"/>
          <w:highlight w:val="none"/>
        </w:rPr>
      </w:pPr>
      <w:r>
        <w:rPr>
          <w:rFonts w:ascii="仿宋_GB2312" w:hAnsi="Arial"/>
          <w:color w:val="auto"/>
          <w:sz w:val="30"/>
          <w:szCs w:val="21"/>
          <w:highlight w:val="none"/>
        </w:rPr>
        <w:br w:type="page" w:clear="all"/>
      </w:r>
      <w:r/>
    </w:p>
    <w:p>
      <w:pPr>
        <w:rPr>
          <w:color w:val="auto"/>
          <w:highlight w:val="none"/>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rPr>
        <w:t xml:space="preserve">11</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小微企业声明函（服务）</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 （采购人）  </w:t>
      </w:r>
      <w:r>
        <w:rPr>
          <w:rFonts w:hint="eastAsia" w:ascii="宋体" w:hAnsi="宋体"/>
          <w:color w:val="auto"/>
          <w:sz w:val="24"/>
          <w:szCs w:val="24"/>
          <w:highlight w:val="none"/>
        </w:rPr>
        <w:t xml:space="preserve">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备注2：供应商如不提供此声明函，价格将不做相应扣除。</w:t>
      </w:r>
      <w:r/>
    </w:p>
    <w:p>
      <w:pPr>
        <w:rPr>
          <w:color w:val="auto"/>
          <w:highlight w:val="none"/>
        </w:rPr>
      </w:pPr>
      <w:r>
        <w:rPr>
          <w:rFonts w:ascii="黑体" w:hAnsi="黑体" w:eastAsia="黑体"/>
          <w:b/>
          <w:color w:val="auto"/>
          <w:sz w:val="32"/>
          <w:szCs w:val="32"/>
          <w:highlight w:val="none"/>
        </w:rPr>
        <w:br w:type="page" w:clear="all"/>
      </w: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rPr>
        <w:t xml:space="preserve">12</w:t>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hint="eastAsia"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hint="eastAsia" w:ascii="宋体" w:hAnsi="宋体"/>
          <w:color w:val="auto"/>
          <w:sz w:val="24"/>
          <w:highlight w:val="none"/>
        </w:rPr>
      </w:pPr>
      <w:r>
        <w:rPr>
          <w:rFonts w:hint="eastAsia" w:ascii="宋体" w:hAnsi="宋体"/>
          <w:color w:val="auto"/>
          <w:sz w:val="24"/>
          <w:highlight w:val="none"/>
        </w:rPr>
        <w:t xml:space="preserve">              日  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1079"/>
        <w:rPr>
          <w:rFonts w:eastAsia="宋体"/>
          <w:color w:val="auto"/>
          <w:highlight w:val="none"/>
        </w:rPr>
      </w:pPr>
      <w:r>
        <w:rPr>
          <w:rFonts w:eastAsia="宋体"/>
          <w:color w:val="auto"/>
          <w:highlight w:val="none"/>
        </w:rPr>
      </w:r>
      <w:r/>
    </w:p>
    <w:p>
      <w:pPr>
        <w:jc w:val="left"/>
        <w:widowControl/>
        <w:rPr>
          <w:color w:val="auto"/>
          <w:highlight w:val="none"/>
        </w:rPr>
      </w:pPr>
      <w:r>
        <w:rPr>
          <w:color w:val="auto"/>
          <w:highlight w:val="none"/>
        </w:rPr>
        <w:br w:type="page" w:clear="all"/>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2"/>
        <w:jc w:val="left"/>
        <w:spacing w:before="132" w:after="378"/>
        <w:shd w:val="clear" w:color="auto" w:fill="ffffff"/>
        <w:widowControl/>
        <w:rPr>
          <w:rFonts w:hint="eastAsia" w:ascii="宋体" w:hAnsi="宋体" w:cs="宋体"/>
          <w:b/>
          <w:bCs/>
          <w:color w:val="auto"/>
          <w:sz w:val="24"/>
          <w:szCs w:val="24"/>
          <w:highlight w:val="none"/>
        </w:rPr>
      </w:pPr>
      <w:r>
        <w:rPr>
          <w:rFonts w:hint="eastAsia" w:ascii="宋体" w:hAnsi="宋体" w:cs="宋体"/>
          <w:b/>
          <w:bCs/>
          <w:color w:val="auto"/>
          <w:sz w:val="24"/>
          <w:szCs w:val="20"/>
          <w:highlight w:val="none"/>
        </w:rPr>
        <w:t xml:space="preserve">特别提醒：</w:t>
      </w:r>
      <w:r>
        <w:rPr>
          <w:rFonts w:hint="eastAsia" w:ascii="宋体" w:hAnsi="宋体" w:cs="宋体"/>
          <w:b/>
          <w:bCs/>
          <w:color w:val="auto"/>
          <w:sz w:val="24"/>
          <w:szCs w:val="24"/>
          <w:highlight w:val="none"/>
          <w:shd w:val="clear" w:color="auto" w:fill="ffffff"/>
        </w:rPr>
        <w:t xml:space="preserve">供应商必须在法定质疑期内一次性提出针对同一采购程序环节的质疑。</w:t>
      </w:r>
      <w:r/>
    </w:p>
    <w:p>
      <w:pPr>
        <w:ind w:firstLine="160"/>
        <w:rPr>
          <w:rFonts w:ascii="仿宋_GB2312" w:hAnsi="Calibri" w:eastAsia="仿宋_GB2312"/>
          <w:color w:val="auto"/>
          <w:sz w:val="32"/>
          <w:highlight w:val="none"/>
        </w:rPr>
      </w:pPr>
      <w:r>
        <w:rPr>
          <w:rFonts w:hint="eastAsia" w:ascii="仿宋_GB2312" w:hAnsi="Calibri" w:eastAsia="仿宋_GB2312"/>
          <w:color w:val="auto"/>
          <w:sz w:val="32"/>
          <w:highlight w:val="none"/>
        </w:rPr>
        <w:br w:type="column"/>
      </w:r>
      <w:r>
        <w:rPr>
          <w:rFonts w:hint="eastAsia" w:ascii="仿宋_GB2312" w:hAnsi="Calibri" w:eastAsia="仿宋_GB2312"/>
          <w:color w:val="auto"/>
          <w:sz w:val="32"/>
          <w:highlight w:val="none"/>
        </w:rPr>
        <w:t xml:space="preserve">附件：</w:t>
      </w:r>
      <w:r/>
    </w:p>
    <w:p>
      <w:pPr>
        <w:ind w:firstLine="240"/>
        <w:jc w:val="center"/>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办理政采贷和</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）告知函</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各政府采购供应商：</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欢迎贵公司参与南通市政府采购活动！</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政府采购线上合同信用融资和</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）是支持企业发展，针对参与政府采购活动的企业融资难、现金流不足等问题推出的一项服务举措。</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贵公司若成为本次政府采购项目的中标（成交）供应商，可自愿选择</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1079"/>
        <w:rPr>
          <w:color w:val="auto"/>
          <w:highlight w:val="none"/>
        </w:rPr>
      </w:pPr>
      <w:r>
        <w:rPr>
          <w:color w:val="auto"/>
          <w:highlight w:val="none"/>
        </w:rPr>
      </w:r>
      <w:r/>
    </w:p>
    <w:sectPr>
      <w:headerReference w:type="default" r:id="rId10"/>
      <w:footerReference w:type="default" r:id="rId14"/>
      <w:footerReference w:type="even" r:id="rId15"/>
      <w:footerReference w:type="first" r:id="rId16"/>
      <w:footnotePr/>
      <w:endnotePr/>
      <w:type w:val="nextPage"/>
      <w:pgSz w:w="11906" w:h="16838" w:orient="portrait"/>
      <w:pgMar w:top="1418" w:right="1588" w:bottom="1418" w:left="1365" w:header="851" w:footer="907" w:gutter="0"/>
      <w:pgNumType w:start="2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Calibri Light">
    <w:panose1 w:val="020F0302020204030204"/>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方正楷体简体">
    <w:panose1 w:val="020B050302020202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rPr>
        <w:rFonts w:hint="eastAsia" w:eastAsia="宋体"/>
        <w:lang w:eastAsia="zh-CN"/>
      </w:rPr>
    </w:pPr>
    <w:r>
      <w:rPr>
        <w:rFonts w:hint="eastAsia"/>
        <w:lang w:val="en-US" w:eastAsia="zh-CN"/>
      </w:rPr>
      <w:t xml:space="preserve">1</w:t>
    </w:r>
    <w:r/>
  </w:p>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both"/>
      <w:tabs>
        <w:tab w:val="center" w:pos="4394" w:leader="none"/>
      </w:tabs>
    </w:pPr>
    <w:r>
      <w:rPr>
        <w:rFonts w:hint="eastAsia"/>
      </w:rPr>
      <w:tab/>
    </w:r>
    <w:r/>
  </w:p>
  <w:p>
    <w:pPr>
      <w:pStyle w:val="90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both"/>
      <w:tabs>
        <w:tab w:val="center" w:pos="439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rPr>
        <w:rFonts w:hint="eastAsia"/>
      </w:rPr>
      <w:tab/>
    </w:r>
    <w:r/>
  </w:p>
  <w:p>
    <w:pPr>
      <w:pStyle w:val="90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90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0"/>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20</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2785110</wp:posOffset>
              </wp:positionH>
              <wp:positionV relativeFrom="paragraph">
                <wp:posOffset>-24764</wp:posOffset>
              </wp:positionV>
              <wp:extent cx="362585" cy="177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62585" cy="177800"/>
                      </a:xfrm>
                      <a:prstGeom prst="rect">
                        <a:avLst/>
                      </a:prstGeom>
                      <a:noFill/>
                      <a:ln>
                        <a:noFill/>
                        <a:miter/>
                      </a:ln>
                    </wps:spPr>
                    <wps:txbx>
                      <w:txbxContent>
                        <w:p>
                          <w:pPr>
                            <w:rPr>
                              <w:rFonts w:hint="default"/>
                              <w:lang w:val="en-US" w:eastAsia="zh-CN"/>
                            </w:rPr>
                          </w:pPr>
                          <w:r>
                            <w:rPr>
                              <w:rFonts w:hint="default"/>
                              <w:lang w:val="en-US" w:eastAsia="zh-CN"/>
                            </w:rPr>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argin-left:219.3pt;mso-position-horizontal:absolute;mso-position-vertical-relative:text;margin-top:-1.9pt;mso-position-vertical:absolute;width:28.5pt;height:14.0pt;mso-wrap-distance-left:9.0pt;mso-wrap-distance-top:0.0pt;mso-wrap-distance-right:9.0pt;mso-wrap-distance-bottom:0.0pt;visibility:visible;" filled="f" stroked="f">
              <v:textbox inset="0,0,0,0">
                <w:txbxContent>
                  <w:p>
                    <w:pPr>
                      <w:rPr>
                        <w:rFonts w:hint="default"/>
                        <w:lang w:val="en-US" w:eastAsia="zh-CN"/>
                      </w:rPr>
                    </w:pPr>
                    <w:r>
                      <w:rPr>
                        <w:rFonts w:hint="default"/>
                        <w:lang w:val="en-US" w:eastAsia="zh-CN"/>
                      </w:rPr>
                    </w:r>
                    <w:r/>
                  </w:p>
                </w:txbxContent>
              </v:textbox>
            </v:shape>
          </w:pict>
        </mc:Fallback>
      </mc:AlternateContent>
    </w:r>
    <w:r>
      <w:rPr>
        <w:rFonts w:hint="eastAsia"/>
        <w:lang w:val="en-US" w:eastAsia="zh-CN"/>
      </w:rPr>
      <w:t xml:space="preserve">1</w:t>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4"/>
      <w:isLgl w:val="false"/>
      <w:suff w:val="nothing"/>
      <w:lvlText w:val=""/>
      <w:lvlJc w:val="left"/>
      <w:pPr>
        <w:ind w:left="0" w:firstLine="0"/>
      </w:pPr>
      <w:rPr>
        <w:rFonts w:hint="eastAsia"/>
      </w:rPr>
    </w:lvl>
    <w:lvl w:ilvl="6">
      <w:start w:val="1"/>
      <w:numFmt w:val="decimal"/>
      <w:pStyle w:val="875"/>
      <w:isLgl w:val="false"/>
      <w:suff w:val="nothing"/>
      <w:lvlText w:val=""/>
      <w:lvlJc w:val="left"/>
      <w:pPr>
        <w:ind w:left="0" w:firstLine="0"/>
      </w:pPr>
      <w:rPr>
        <w:rFonts w:hint="eastAsia"/>
      </w:rPr>
    </w:lvl>
    <w:lvl w:ilvl="7">
      <w:start w:val="1"/>
      <w:numFmt w:val="decimal"/>
      <w:pStyle w:val="876"/>
      <w:isLgl w:val="false"/>
      <w:suff w:val="nothing"/>
      <w:lvlText w:val=""/>
      <w:lvlJc w:val="left"/>
      <w:pPr>
        <w:ind w:left="0" w:firstLine="0"/>
      </w:pPr>
      <w:rPr>
        <w:rFonts w:hint="eastAsia"/>
      </w:rPr>
    </w:lvl>
    <w:lvl w:ilvl="8">
      <w:start w:val="1"/>
      <w:numFmt w:val="decimal"/>
      <w:pStyle w:val="877"/>
      <w:isLgl w:val="false"/>
      <w:suff w:val="nothing"/>
      <w:lvlText w:val=""/>
      <w:lvlJc w:val="left"/>
      <w:pPr>
        <w:ind w:left="0" w:firstLine="0"/>
      </w:pPr>
      <w:rPr>
        <w:rFonts w:hint="eastAsia"/>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upperLetter"/>
      <w:pStyle w:val="11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850" w:firstLine="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8"/>
  </w:num>
  <w:num w:numId="3">
    <w:abstractNumId w:val="7"/>
  </w:num>
  <w:num w:numId="4">
    <w:abstractNumId w:val="4"/>
  </w:num>
  <w:num w:numId="5">
    <w:abstractNumId w:val="5"/>
  </w:num>
  <w:num w:numId="6">
    <w:abstractNumId w:val="0"/>
  </w:num>
  <w:num w:numId="7">
    <w:abstractNumId w:val="2"/>
  </w:num>
  <w:num w:numId="8">
    <w:abstractNumId w:val="11"/>
  </w:num>
  <w:num w:numId="9">
    <w:abstractNumId w:val="6"/>
  </w:num>
  <w:num w:numId="10">
    <w:abstractNumId w:val="3"/>
  </w:num>
  <w:num w:numId="11">
    <w:abstractNumId w:val="9"/>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next w:val="880"/>
    <w:uiPriority w:val="0"/>
    <w:qFormat/>
    <w:pPr>
      <w:jc w:val="both"/>
      <w:widowControl w:val="off"/>
    </w:pPr>
    <w:rPr>
      <w:rFonts w:ascii="Times New Roman" w:hAnsi="Times New Roman" w:eastAsia="宋体" w:cs="Times New Roman"/>
      <w:sz w:val="21"/>
      <w:szCs w:val="22"/>
      <w:lang w:val="en-US" w:eastAsia="zh-CN" w:bidi="ar-SA"/>
    </w:rPr>
  </w:style>
  <w:style w:type="paragraph" w:styleId="869">
    <w:name w:val="Heading 1"/>
    <w:basedOn w:val="868"/>
    <w:next w:val="868"/>
    <w:link w:val="1080"/>
    <w:uiPriority w:val="0"/>
    <w:qFormat/>
    <w:pPr>
      <w:jc w:val="center"/>
      <w:keepNext/>
      <w:outlineLvl w:val="0"/>
    </w:pPr>
    <w:rPr>
      <w:rFonts w:ascii="楷体_GB2312" w:eastAsia="楷体_GB2312"/>
      <w:sz w:val="28"/>
      <w:szCs w:val="28"/>
    </w:rPr>
  </w:style>
  <w:style w:type="paragraph" w:styleId="870">
    <w:name w:val="Heading 2"/>
    <w:basedOn w:val="868"/>
    <w:next w:val="881"/>
    <w:link w:val="10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1">
    <w:name w:val="Heading 3"/>
    <w:basedOn w:val="868"/>
    <w:next w:val="881"/>
    <w:link w:val="1083"/>
    <w:uiPriority w:val="0"/>
    <w:qFormat/>
    <w:pPr>
      <w:keepLines/>
      <w:keepNext/>
      <w:spacing w:before="260" w:after="260" w:line="416" w:lineRule="auto"/>
      <w:outlineLvl w:val="2"/>
    </w:pPr>
    <w:rPr>
      <w:b/>
      <w:bCs/>
      <w:sz w:val="32"/>
      <w:szCs w:val="32"/>
    </w:rPr>
  </w:style>
  <w:style w:type="paragraph" w:styleId="872">
    <w:name w:val="Heading 4"/>
    <w:basedOn w:val="868"/>
    <w:next w:val="881"/>
    <w:link w:val="1084"/>
    <w:uiPriority w:val="0"/>
    <w:qFormat/>
    <w:pPr>
      <w:keepLines/>
      <w:keepNext/>
      <w:spacing w:before="280" w:after="290" w:line="376" w:lineRule="auto"/>
      <w:outlineLvl w:val="3"/>
    </w:pPr>
    <w:rPr>
      <w:rFonts w:ascii="Arial" w:hAnsi="Arial" w:eastAsia="黑体" w:cs="Arial"/>
      <w:b/>
      <w:bCs/>
      <w:sz w:val="28"/>
      <w:szCs w:val="28"/>
    </w:rPr>
  </w:style>
  <w:style w:type="paragraph" w:styleId="873">
    <w:name w:val="Heading 5"/>
    <w:basedOn w:val="868"/>
    <w:next w:val="881"/>
    <w:link w:val="1085"/>
    <w:uiPriority w:val="0"/>
    <w:qFormat/>
    <w:pPr>
      <w:keepNext/>
      <w:outlineLvl w:val="4"/>
    </w:pPr>
    <w:rPr>
      <w:rFonts w:ascii="宋体"/>
      <w:color w:val="000000"/>
      <w:sz w:val="28"/>
      <w:szCs w:val="28"/>
    </w:rPr>
  </w:style>
  <w:style w:type="paragraph" w:styleId="874">
    <w:name w:val="Heading 6"/>
    <w:basedOn w:val="868"/>
    <w:next w:val="868"/>
    <w:link w:val="108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5">
    <w:name w:val="Heading 7"/>
    <w:basedOn w:val="868"/>
    <w:next w:val="868"/>
    <w:link w:val="1087"/>
    <w:uiPriority w:val="0"/>
    <w:qFormat/>
    <w:pPr>
      <w:numPr>
        <w:ilvl w:val="6"/>
        <w:numId w:val="1"/>
      </w:numPr>
      <w:keepLines/>
      <w:keepNext/>
      <w:spacing w:before="240" w:after="64" w:line="320" w:lineRule="auto"/>
      <w:outlineLvl w:val="6"/>
    </w:pPr>
    <w:rPr>
      <w:b/>
      <w:bCs/>
      <w:sz w:val="24"/>
      <w:szCs w:val="24"/>
    </w:rPr>
  </w:style>
  <w:style w:type="paragraph" w:styleId="876">
    <w:name w:val="Heading 8"/>
    <w:basedOn w:val="868"/>
    <w:next w:val="868"/>
    <w:link w:val="108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7">
    <w:name w:val="Heading 9"/>
    <w:basedOn w:val="868"/>
    <w:next w:val="868"/>
    <w:link w:val="1089"/>
    <w:uiPriority w:val="0"/>
    <w:qFormat/>
    <w:pPr>
      <w:numPr>
        <w:ilvl w:val="8"/>
        <w:numId w:val="1"/>
      </w:numPr>
      <w:keepLines/>
      <w:keepNext/>
      <w:spacing w:before="240" w:after="64" w:line="320" w:lineRule="auto"/>
      <w:outlineLvl w:val="8"/>
    </w:pPr>
    <w:rPr>
      <w:rFonts w:ascii="Arial" w:hAnsi="Arial" w:eastAsia="黑体"/>
      <w:szCs w:val="21"/>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customStyle="1">
    <w:name w:val="目录 11"/>
    <w:basedOn w:val="868"/>
    <w:next w:val="868"/>
    <w:uiPriority w:val="0"/>
    <w:semiHidden/>
    <w:qFormat/>
    <w:pPr>
      <w:jc w:val="left"/>
      <w:spacing w:before="120" w:after="120" w:line="400" w:lineRule="exact"/>
      <w:tabs>
        <w:tab w:val="right" w:pos="8720" w:leader="dot"/>
      </w:tabs>
    </w:pPr>
    <w:rPr>
      <w:rFonts w:ascii="宋体" w:hAnsi="宋体"/>
      <w:caps/>
      <w:sz w:val="24"/>
      <w:szCs w:val="24"/>
    </w:rPr>
  </w:style>
  <w:style w:type="paragraph" w:styleId="881">
    <w:name w:val="Normal Indent"/>
    <w:basedOn w:val="868"/>
    <w:link w:val="1082"/>
    <w:uiPriority w:val="0"/>
    <w:qFormat/>
    <w:pPr>
      <w:ind w:firstLine="420"/>
    </w:pPr>
    <w:rPr>
      <w:szCs w:val="21"/>
    </w:rPr>
  </w:style>
  <w:style w:type="paragraph" w:styleId="882">
    <w:name w:val="List 3"/>
    <w:basedOn w:val="868"/>
    <w:uiPriority w:val="0"/>
    <w:qFormat/>
    <w:pPr>
      <w:ind w:left="100" w:hanging="200"/>
    </w:pPr>
    <w:rPr>
      <w:szCs w:val="21"/>
    </w:rPr>
  </w:style>
  <w:style w:type="paragraph" w:styleId="883">
    <w:name w:val="toc 7"/>
    <w:basedOn w:val="868"/>
    <w:next w:val="868"/>
    <w:uiPriority w:val="39"/>
    <w:unhideWhenUsed/>
    <w:qFormat/>
    <w:pPr>
      <w:ind w:left="1701"/>
      <w:spacing w:after="57"/>
    </w:pPr>
  </w:style>
  <w:style w:type="paragraph" w:styleId="884">
    <w:name w:val="Caption"/>
    <w:basedOn w:val="868"/>
    <w:next w:val="868"/>
    <w:uiPriority w:val="35"/>
    <w:semiHidden/>
    <w:unhideWhenUsed/>
    <w:qFormat/>
    <w:pPr>
      <w:spacing w:line="276" w:lineRule="auto"/>
    </w:pPr>
    <w:rPr>
      <w:b/>
      <w:bCs/>
      <w:color w:val="4f81bd"/>
      <w:sz w:val="18"/>
      <w:szCs w:val="18"/>
    </w:rPr>
  </w:style>
  <w:style w:type="paragraph" w:styleId="885">
    <w:name w:val="Document Map"/>
    <w:basedOn w:val="868"/>
    <w:link w:val="1091"/>
    <w:uiPriority w:val="0"/>
    <w:semiHidden/>
    <w:qFormat/>
    <w:pPr>
      <w:shd w:val="clear" w:color="auto" w:fill="000080"/>
    </w:pPr>
    <w:rPr>
      <w:szCs w:val="21"/>
    </w:rPr>
  </w:style>
  <w:style w:type="paragraph" w:styleId="886">
    <w:name w:val="annotation text"/>
    <w:basedOn w:val="868"/>
    <w:link w:val="1092"/>
    <w:uiPriority w:val="0"/>
    <w:unhideWhenUsed/>
    <w:qFormat/>
    <w:pPr>
      <w:jc w:val="left"/>
    </w:pPr>
  </w:style>
  <w:style w:type="paragraph" w:styleId="887">
    <w:name w:val="Body Text 3"/>
    <w:basedOn w:val="868"/>
    <w:link w:val="1093"/>
    <w:uiPriority w:val="0"/>
    <w:qFormat/>
    <w:rPr>
      <w:rFonts w:ascii="仿宋_GB2312" w:hAnsi="Arial" w:eastAsia="仿宋_GB2312"/>
      <w:sz w:val="32"/>
      <w:szCs w:val="32"/>
    </w:rPr>
  </w:style>
  <w:style w:type="paragraph" w:styleId="888">
    <w:name w:val="Body Text"/>
    <w:basedOn w:val="868"/>
    <w:next w:val="868"/>
    <w:link w:val="1094"/>
    <w:uiPriority w:val="0"/>
    <w:qFormat/>
    <w:rPr>
      <w:rFonts w:ascii="楷体_GB2312" w:hAnsi="Arial" w:eastAsia="楷体_GB2312"/>
      <w:sz w:val="28"/>
      <w:szCs w:val="28"/>
    </w:rPr>
  </w:style>
  <w:style w:type="paragraph" w:styleId="889">
    <w:name w:val="Body Text Indent"/>
    <w:basedOn w:val="868"/>
    <w:next w:val="890"/>
    <w:link w:val="1095"/>
    <w:uiPriority w:val="0"/>
    <w:unhideWhenUsed/>
    <w:qFormat/>
    <w:pPr>
      <w:ind w:left="420"/>
      <w:spacing w:after="120"/>
    </w:pPr>
  </w:style>
  <w:style w:type="paragraph" w:styleId="890">
    <w:name w:val="envelope return"/>
    <w:basedOn w:val="868"/>
    <w:uiPriority w:val="99"/>
    <w:qFormat/>
    <w:rPr>
      <w:rFonts w:ascii="Arial" w:hAnsi="Arial" w:cs="Arial"/>
    </w:rPr>
  </w:style>
  <w:style w:type="paragraph" w:styleId="891">
    <w:name w:val="List 2"/>
    <w:basedOn w:val="868"/>
    <w:uiPriority w:val="0"/>
    <w:qFormat/>
    <w:pPr>
      <w:ind w:left="100" w:hanging="200"/>
    </w:pPr>
    <w:rPr>
      <w:szCs w:val="21"/>
    </w:rPr>
  </w:style>
  <w:style w:type="paragraph" w:styleId="892">
    <w:name w:val="toc 5"/>
    <w:basedOn w:val="868"/>
    <w:next w:val="868"/>
    <w:uiPriority w:val="39"/>
    <w:unhideWhenUsed/>
    <w:qFormat/>
    <w:pPr>
      <w:ind w:left="1134"/>
      <w:spacing w:after="57"/>
    </w:pPr>
  </w:style>
  <w:style w:type="paragraph" w:styleId="893">
    <w:name w:val="toc 3"/>
    <w:basedOn w:val="868"/>
    <w:next w:val="868"/>
    <w:uiPriority w:val="39"/>
    <w:unhideWhenUsed/>
    <w:qFormat/>
    <w:pPr>
      <w:ind w:left="567"/>
      <w:spacing w:after="57"/>
    </w:pPr>
  </w:style>
  <w:style w:type="paragraph" w:styleId="894">
    <w:name w:val="Plain Text"/>
    <w:basedOn w:val="868"/>
    <w:link w:val="1098"/>
    <w:uiPriority w:val="0"/>
    <w:qFormat/>
    <w:rPr>
      <w:rFonts w:ascii="宋体" w:hAnsi="Courier New" w:cs="Courier New"/>
      <w:szCs w:val="21"/>
    </w:rPr>
  </w:style>
  <w:style w:type="paragraph" w:styleId="895">
    <w:name w:val="toc 8"/>
    <w:basedOn w:val="868"/>
    <w:next w:val="868"/>
    <w:uiPriority w:val="39"/>
    <w:unhideWhenUsed/>
    <w:qFormat/>
    <w:pPr>
      <w:ind w:left="1984"/>
      <w:spacing w:after="57"/>
    </w:pPr>
  </w:style>
  <w:style w:type="paragraph" w:styleId="896">
    <w:name w:val="Date"/>
    <w:basedOn w:val="868"/>
    <w:next w:val="868"/>
    <w:link w:val="1100"/>
    <w:uiPriority w:val="0"/>
    <w:qFormat/>
    <w:rPr>
      <w:sz w:val="24"/>
      <w:szCs w:val="24"/>
    </w:rPr>
  </w:style>
  <w:style w:type="paragraph" w:styleId="897">
    <w:name w:val="Body Text Indent 2"/>
    <w:basedOn w:val="868"/>
    <w:link w:val="1101"/>
    <w:uiPriority w:val="0"/>
    <w:qFormat/>
    <w:pPr>
      <w:ind w:left="630" w:firstLine="645"/>
    </w:pPr>
    <w:rPr>
      <w:rFonts w:ascii="Arial" w:hAnsi="Arial" w:eastAsia="仿宋_GB2312" w:cs="Arial"/>
      <w:sz w:val="32"/>
      <w:szCs w:val="32"/>
    </w:rPr>
  </w:style>
  <w:style w:type="paragraph" w:styleId="898">
    <w:name w:val="endnote text"/>
    <w:basedOn w:val="868"/>
    <w:link w:val="1077"/>
    <w:uiPriority w:val="99"/>
    <w:semiHidden/>
    <w:unhideWhenUsed/>
    <w:qFormat/>
    <w:rPr>
      <w:sz w:val="20"/>
    </w:rPr>
  </w:style>
  <w:style w:type="paragraph" w:styleId="899">
    <w:name w:val="Balloon Text"/>
    <w:basedOn w:val="868"/>
    <w:link w:val="1102"/>
    <w:uiPriority w:val="0"/>
    <w:semiHidden/>
    <w:qFormat/>
    <w:rPr>
      <w:sz w:val="18"/>
      <w:szCs w:val="18"/>
    </w:rPr>
  </w:style>
  <w:style w:type="paragraph" w:styleId="900">
    <w:name w:val="Footer"/>
    <w:basedOn w:val="868"/>
    <w:link w:val="1103"/>
    <w:uiPriority w:val="99"/>
    <w:qFormat/>
    <w:pPr>
      <w:jc w:val="left"/>
      <w:tabs>
        <w:tab w:val="center" w:pos="4153" w:leader="none"/>
        <w:tab w:val="right" w:pos="8306" w:leader="none"/>
      </w:tabs>
    </w:pPr>
    <w:rPr>
      <w:sz w:val="18"/>
      <w:szCs w:val="18"/>
    </w:rPr>
  </w:style>
  <w:style w:type="paragraph" w:styleId="901">
    <w:name w:val="Header"/>
    <w:basedOn w:val="868"/>
    <w:link w:val="1104"/>
    <w:uiPriority w:val="0"/>
    <w:qFormat/>
    <w:pPr>
      <w:jc w:val="center"/>
      <w:tabs>
        <w:tab w:val="center" w:pos="4153" w:leader="none"/>
        <w:tab w:val="right" w:pos="8306" w:leader="none"/>
      </w:tabs>
      <w:pBdr>
        <w:bottom w:val="single" w:color="000000" w:sz="6" w:space="1"/>
      </w:pBdr>
    </w:pPr>
    <w:rPr>
      <w:sz w:val="18"/>
      <w:szCs w:val="18"/>
    </w:rPr>
  </w:style>
  <w:style w:type="paragraph" w:styleId="902">
    <w:name w:val="toc 1"/>
    <w:basedOn w:val="868"/>
    <w:next w:val="868"/>
    <w:uiPriority w:val="39"/>
    <w:unhideWhenUsed/>
    <w:qFormat/>
    <w:pPr>
      <w:spacing w:after="57"/>
    </w:pPr>
  </w:style>
  <w:style w:type="paragraph" w:styleId="903">
    <w:name w:val="toc 4"/>
    <w:basedOn w:val="868"/>
    <w:next w:val="868"/>
    <w:uiPriority w:val="39"/>
    <w:unhideWhenUsed/>
    <w:qFormat/>
    <w:pPr>
      <w:ind w:left="850"/>
      <w:spacing w:after="57"/>
    </w:pPr>
  </w:style>
  <w:style w:type="paragraph" w:styleId="904">
    <w:name w:val="Subtitle"/>
    <w:basedOn w:val="868"/>
    <w:next w:val="868"/>
    <w:link w:val="943"/>
    <w:uiPriority w:val="11"/>
    <w:qFormat/>
    <w:pPr>
      <w:spacing w:before="200" w:after="200"/>
    </w:pPr>
    <w:rPr>
      <w:sz w:val="24"/>
      <w:szCs w:val="24"/>
    </w:rPr>
  </w:style>
  <w:style w:type="paragraph" w:styleId="905">
    <w:name w:val="List"/>
    <w:basedOn w:val="868"/>
    <w:uiPriority w:val="0"/>
    <w:qFormat/>
    <w:pPr>
      <w:ind w:left="200" w:hanging="200"/>
    </w:pPr>
    <w:rPr>
      <w:szCs w:val="21"/>
    </w:rPr>
  </w:style>
  <w:style w:type="paragraph" w:styleId="906">
    <w:name w:val="footnote text"/>
    <w:basedOn w:val="868"/>
    <w:link w:val="1076"/>
    <w:uiPriority w:val="99"/>
    <w:semiHidden/>
    <w:unhideWhenUsed/>
    <w:qFormat/>
    <w:pPr>
      <w:spacing w:after="40"/>
    </w:pPr>
    <w:rPr>
      <w:sz w:val="18"/>
    </w:rPr>
  </w:style>
  <w:style w:type="paragraph" w:styleId="907">
    <w:name w:val="toc 6"/>
    <w:basedOn w:val="868"/>
    <w:next w:val="868"/>
    <w:uiPriority w:val="39"/>
    <w:unhideWhenUsed/>
    <w:qFormat/>
    <w:pPr>
      <w:ind w:left="1417"/>
      <w:spacing w:after="57"/>
    </w:pPr>
  </w:style>
  <w:style w:type="paragraph" w:styleId="908">
    <w:name w:val="Body Text Indent 3"/>
    <w:basedOn w:val="868"/>
    <w:link w:val="1107"/>
    <w:uiPriority w:val="0"/>
    <w:qFormat/>
    <w:pPr>
      <w:ind w:left="645" w:firstLine="645"/>
    </w:pPr>
    <w:rPr>
      <w:rFonts w:ascii="Arial" w:hAnsi="Arial" w:eastAsia="仿宋_GB2312" w:cs="Arial"/>
      <w:color w:val="ffff00"/>
      <w:sz w:val="32"/>
      <w:szCs w:val="32"/>
    </w:rPr>
  </w:style>
  <w:style w:type="paragraph" w:styleId="909">
    <w:name w:val="table of figures"/>
    <w:basedOn w:val="868"/>
    <w:next w:val="868"/>
    <w:uiPriority w:val="0"/>
    <w:semiHidden/>
    <w:qFormat/>
    <w:pPr>
      <w:ind w:left="840" w:hanging="420"/>
    </w:pPr>
    <w:rPr>
      <w:szCs w:val="21"/>
    </w:rPr>
  </w:style>
  <w:style w:type="paragraph" w:styleId="910">
    <w:name w:val="toc 2"/>
    <w:basedOn w:val="868"/>
    <w:next w:val="868"/>
    <w:uiPriority w:val="39"/>
    <w:unhideWhenUsed/>
    <w:qFormat/>
    <w:pPr>
      <w:ind w:left="283"/>
      <w:spacing w:after="57"/>
    </w:pPr>
  </w:style>
  <w:style w:type="paragraph" w:styleId="911">
    <w:name w:val="toc 9"/>
    <w:basedOn w:val="868"/>
    <w:next w:val="868"/>
    <w:uiPriority w:val="39"/>
    <w:unhideWhenUsed/>
    <w:qFormat/>
    <w:pPr>
      <w:ind w:left="2268"/>
      <w:spacing w:after="57"/>
    </w:pPr>
  </w:style>
  <w:style w:type="paragraph" w:styleId="912">
    <w:name w:val="Body Text 2"/>
    <w:basedOn w:val="868"/>
    <w:link w:val="1110"/>
    <w:uiPriority w:val="0"/>
    <w:qFormat/>
    <w:pPr>
      <w:jc w:val="center"/>
      <w:widowControl/>
    </w:pPr>
    <w:rPr>
      <w:rFonts w:ascii="楷体_GB2312" w:eastAsia="楷体_GB2312"/>
      <w:sz w:val="28"/>
      <w:szCs w:val="28"/>
    </w:rPr>
  </w:style>
  <w:style w:type="paragraph" w:styleId="913">
    <w:name w:val="Normal (Web)"/>
    <w:basedOn w:val="868"/>
    <w:uiPriority w:val="99"/>
    <w:qFormat/>
    <w:pPr>
      <w:jc w:val="left"/>
      <w:spacing w:before="100" w:beforeAutospacing="1" w:after="100" w:afterAutospacing="1"/>
      <w:widowControl/>
    </w:pPr>
    <w:rPr>
      <w:rFonts w:ascii="宋体" w:hAnsi="宋体" w:cs="宋体"/>
      <w:sz w:val="24"/>
      <w:szCs w:val="24"/>
    </w:rPr>
  </w:style>
  <w:style w:type="paragraph" w:styleId="914">
    <w:name w:val="index 1"/>
    <w:basedOn w:val="868"/>
    <w:next w:val="868"/>
    <w:uiPriority w:val="0"/>
    <w:semiHidden/>
    <w:qFormat/>
    <w:pPr>
      <w:spacing w:line="240" w:lineRule="atLeast"/>
    </w:pPr>
    <w:rPr>
      <w:b/>
      <w:bCs/>
      <w:szCs w:val="21"/>
    </w:rPr>
  </w:style>
  <w:style w:type="paragraph" w:styleId="915">
    <w:name w:val="Title"/>
    <w:basedOn w:val="868"/>
    <w:next w:val="868"/>
    <w:link w:val="942"/>
    <w:uiPriority w:val="10"/>
    <w:qFormat/>
    <w:pPr>
      <w:contextualSpacing/>
      <w:spacing w:before="300" w:after="200"/>
    </w:pPr>
    <w:rPr>
      <w:sz w:val="48"/>
      <w:szCs w:val="48"/>
    </w:rPr>
  </w:style>
  <w:style w:type="paragraph" w:styleId="916">
    <w:name w:val="annotation subject"/>
    <w:basedOn w:val="886"/>
    <w:next w:val="886"/>
    <w:link w:val="1111"/>
    <w:uiPriority w:val="0"/>
    <w:semiHidden/>
    <w:qFormat/>
    <w:rPr>
      <w:b/>
      <w:bCs/>
      <w:szCs w:val="21"/>
    </w:rPr>
  </w:style>
  <w:style w:type="paragraph" w:styleId="917">
    <w:name w:val="Body Text First Indent 2"/>
    <w:basedOn w:val="889"/>
    <w:next w:val="868"/>
    <w:uiPriority w:val="99"/>
    <w:unhideWhenUsed/>
    <w:qFormat/>
    <w:pPr>
      <w:ind w:firstLine="420"/>
    </w:pPr>
  </w:style>
  <w:style w:type="table" w:styleId="918">
    <w:name w:val="Table Grid"/>
    <w:basedOn w:val="87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0"/>
    <w:qFormat/>
    <w:rPr>
      <w:b/>
      <w:bCs/>
    </w:rPr>
  </w:style>
  <w:style w:type="character" w:styleId="920">
    <w:name w:val="endnote reference"/>
    <w:uiPriority w:val="99"/>
    <w:semiHidden/>
    <w:unhideWhenUsed/>
    <w:qFormat/>
    <w:rPr>
      <w:vertAlign w:val="superscript"/>
    </w:rPr>
  </w:style>
  <w:style w:type="character" w:styleId="921">
    <w:name w:val="page number"/>
    <w:uiPriority w:val="0"/>
    <w:qFormat/>
  </w:style>
  <w:style w:type="character" w:styleId="922">
    <w:name w:val="Hyperlink"/>
    <w:uiPriority w:val="0"/>
    <w:qFormat/>
    <w:rPr>
      <w:color w:val="0000ff"/>
      <w:u w:val="single"/>
    </w:rPr>
  </w:style>
  <w:style w:type="character" w:styleId="923">
    <w:name w:val="annotation reference"/>
    <w:uiPriority w:val="0"/>
    <w:semiHidden/>
    <w:qFormat/>
    <w:rPr>
      <w:sz w:val="21"/>
      <w:szCs w:val="21"/>
    </w:rPr>
  </w:style>
  <w:style w:type="character" w:styleId="924">
    <w:name w:val="footnote reference"/>
    <w:uiPriority w:val="99"/>
    <w:unhideWhenUsed/>
    <w:qFormat/>
    <w:rPr>
      <w:vertAlign w:val="superscript"/>
    </w:rPr>
  </w:style>
  <w:style w:type="character" w:styleId="925" w:customStyle="1">
    <w:name w:val="Title Char"/>
    <w:uiPriority w:val="10"/>
    <w:qFormat/>
    <w:rPr>
      <w:sz w:val="48"/>
      <w:szCs w:val="48"/>
    </w:rPr>
  </w:style>
  <w:style w:type="character" w:styleId="926" w:customStyle="1">
    <w:name w:val="Subtitle Char"/>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character" w:styleId="929" w:customStyle="1">
    <w:name w:val="Footnote Text Char"/>
    <w:uiPriority w:val="99"/>
    <w:qFormat/>
    <w:rPr>
      <w:sz w:val="18"/>
    </w:rPr>
  </w:style>
  <w:style w:type="character" w:styleId="930" w:customStyle="1">
    <w:name w:val="Endnote Text Char"/>
    <w:uiPriority w:val="99"/>
    <w:qFormat/>
    <w:rPr>
      <w:sz w:val="20"/>
    </w:rPr>
  </w:style>
  <w:style w:type="character" w:styleId="931" w:customStyle="1">
    <w:name w:val="Heading 1 Char"/>
    <w:uiPriority w:val="9"/>
    <w:qFormat/>
    <w:rPr>
      <w:rFonts w:ascii="Arial" w:hAnsi="Arial" w:eastAsia="Arial" w:cs="Arial"/>
      <w:sz w:val="40"/>
      <w:szCs w:val="40"/>
    </w:rPr>
  </w:style>
  <w:style w:type="character" w:styleId="932" w:customStyle="1">
    <w:name w:val="Heading 2 Char"/>
    <w:uiPriority w:val="9"/>
    <w:qFormat/>
    <w:rPr>
      <w:rFonts w:ascii="Arial" w:hAnsi="Arial" w:eastAsia="Arial" w:cs="Arial"/>
      <w:sz w:val="34"/>
    </w:rPr>
  </w:style>
  <w:style w:type="character" w:styleId="933" w:customStyle="1">
    <w:name w:val="Heading 3 Char"/>
    <w:uiPriority w:val="9"/>
    <w:qFormat/>
    <w:rPr>
      <w:rFonts w:ascii="Arial" w:hAnsi="Arial" w:eastAsia="Arial" w:cs="Arial"/>
      <w:sz w:val="30"/>
      <w:szCs w:val="30"/>
    </w:rPr>
  </w:style>
  <w:style w:type="character" w:styleId="934" w:customStyle="1">
    <w:name w:val="Heading 4 Char"/>
    <w:uiPriority w:val="9"/>
    <w:qFormat/>
    <w:rPr>
      <w:rFonts w:ascii="Arial" w:hAnsi="Arial" w:eastAsia="Arial" w:cs="Arial"/>
      <w:b/>
      <w:bCs/>
      <w:sz w:val="26"/>
      <w:szCs w:val="26"/>
    </w:rPr>
  </w:style>
  <w:style w:type="character" w:styleId="935" w:customStyle="1">
    <w:name w:val="Heading 5 Char"/>
    <w:uiPriority w:val="9"/>
    <w:qFormat/>
    <w:rPr>
      <w:rFonts w:ascii="Arial" w:hAnsi="Arial" w:eastAsia="Arial" w:cs="Arial"/>
      <w:b/>
      <w:bCs/>
      <w:sz w:val="24"/>
      <w:szCs w:val="24"/>
    </w:rPr>
  </w:style>
  <w:style w:type="character" w:styleId="936" w:customStyle="1">
    <w:name w:val="Heading 6 Char"/>
    <w:uiPriority w:val="9"/>
    <w:qFormat/>
    <w:rPr>
      <w:rFonts w:ascii="Arial" w:hAnsi="Arial" w:eastAsia="Arial" w:cs="Arial"/>
      <w:b/>
      <w:bCs/>
      <w:sz w:val="22"/>
      <w:szCs w:val="22"/>
    </w:rPr>
  </w:style>
  <w:style w:type="character" w:styleId="937" w:customStyle="1">
    <w:name w:val="Heading 7 Char"/>
    <w:uiPriority w:val="9"/>
    <w:qFormat/>
    <w:rPr>
      <w:rFonts w:ascii="Arial" w:hAnsi="Arial" w:eastAsia="Arial" w:cs="Arial"/>
      <w:b/>
      <w:bCs/>
      <w:i/>
      <w:iCs/>
      <w:sz w:val="22"/>
      <w:szCs w:val="22"/>
    </w:rPr>
  </w:style>
  <w:style w:type="character" w:styleId="938" w:customStyle="1">
    <w:name w:val="Heading 8 Char"/>
    <w:uiPriority w:val="9"/>
    <w:qFormat/>
    <w:rPr>
      <w:rFonts w:ascii="Arial" w:hAnsi="Arial" w:eastAsia="Arial" w:cs="Arial"/>
      <w:i/>
      <w:iCs/>
      <w:sz w:val="22"/>
      <w:szCs w:val="22"/>
    </w:rPr>
  </w:style>
  <w:style w:type="character" w:styleId="939" w:customStyle="1">
    <w:name w:val="Heading 9 Char"/>
    <w:uiPriority w:val="9"/>
    <w:qFormat/>
    <w:rPr>
      <w:rFonts w:ascii="Arial" w:hAnsi="Arial" w:eastAsia="Arial" w:cs="Arial"/>
      <w:i/>
      <w:iCs/>
      <w:sz w:val="21"/>
      <w:szCs w:val="21"/>
    </w:rPr>
  </w:style>
  <w:style w:type="paragraph" w:styleId="940">
    <w:name w:val="List Paragraph"/>
    <w:basedOn w:val="868"/>
    <w:uiPriority w:val="34"/>
    <w:qFormat/>
    <w:pPr>
      <w:contextualSpacing/>
      <w:ind w:left="720"/>
    </w:pPr>
  </w:style>
  <w:style w:type="paragraph" w:styleId="941">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42" w:customStyle="1">
    <w:name w:val="标题 字符"/>
    <w:link w:val="915"/>
    <w:uiPriority w:val="10"/>
    <w:qFormat/>
    <w:rPr>
      <w:sz w:val="48"/>
      <w:szCs w:val="48"/>
    </w:rPr>
  </w:style>
  <w:style w:type="character" w:styleId="943" w:customStyle="1">
    <w:name w:val="副标题 字符"/>
    <w:link w:val="904"/>
    <w:uiPriority w:val="11"/>
    <w:qFormat/>
    <w:rPr>
      <w:sz w:val="24"/>
      <w:szCs w:val="24"/>
    </w:rPr>
  </w:style>
  <w:style w:type="paragraph" w:styleId="944">
    <w:name w:val="Quote"/>
    <w:basedOn w:val="868"/>
    <w:next w:val="868"/>
    <w:link w:val="945"/>
    <w:uiPriority w:val="29"/>
    <w:qFormat/>
    <w:pPr>
      <w:ind w:left="720" w:right="720"/>
    </w:pPr>
    <w:rPr>
      <w:i/>
    </w:rPr>
  </w:style>
  <w:style w:type="character" w:styleId="945" w:customStyle="1">
    <w:name w:val="引用 字符"/>
    <w:link w:val="944"/>
    <w:uiPriority w:val="29"/>
    <w:qFormat/>
    <w:rPr>
      <w:i/>
    </w:rPr>
  </w:style>
  <w:style w:type="paragraph" w:styleId="946">
    <w:name w:val="Intense Quote"/>
    <w:basedOn w:val="868"/>
    <w:next w:val="868"/>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30"/>
    <w:qFormat/>
    <w:rPr>
      <w:i/>
    </w:rPr>
  </w:style>
  <w:style w:type="character" w:styleId="948" w:customStyle="1">
    <w:name w:val="Header Char"/>
    <w:uiPriority w:val="99"/>
    <w:qFormat/>
  </w:style>
  <w:style w:type="character" w:styleId="949" w:customStyle="1">
    <w:name w:val="Footer Char"/>
    <w:uiPriority w:val="99"/>
    <w:qFormat/>
  </w:style>
  <w:style w:type="character" w:styleId="950" w:customStyle="1">
    <w:name w:val="Caption Char"/>
    <w:uiPriority w:val="99"/>
    <w:qFormat/>
  </w:style>
  <w:style w:type="table" w:styleId="95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4" w:customStyle="1">
    <w:name w:val="Plain Table 3"/>
    <w:uiPriority w:val="99"/>
    <w:qFormat/>
    <w:tblPr>
      <w:tblCellMar>
        <w:left w:w="0" w:type="dxa"/>
        <w:top w:w="0" w:type="dxa"/>
        <w:right w:w="0" w:type="dxa"/>
        <w:bottom w:w="0" w:type="dxa"/>
      </w:tblCellMar>
    </w:tblPr>
  </w:style>
  <w:style w:type="table" w:styleId="955" w:customStyle="1">
    <w:name w:val="Plain Table 4"/>
    <w:uiPriority w:val="99"/>
    <w:qFormat/>
    <w:tblPr>
      <w:tblCellMar>
        <w:left w:w="0" w:type="dxa"/>
        <w:top w:w="0" w:type="dxa"/>
        <w:right w:w="0" w:type="dxa"/>
        <w:bottom w:w="0" w:type="dxa"/>
      </w:tblCellMar>
    </w:tblPr>
  </w:style>
  <w:style w:type="table" w:styleId="956" w:customStyle="1">
    <w:name w:val="Plain Table 5"/>
    <w:uiPriority w:val="99"/>
    <w:qFormat/>
    <w:tblPr>
      <w:tblCellMar>
        <w:left w:w="0" w:type="dxa"/>
        <w:top w:w="0" w:type="dxa"/>
        <w:right w:w="0" w:type="dxa"/>
        <w:bottom w:w="0" w:type="dxa"/>
      </w:tblCellMar>
    </w:tblPr>
  </w:style>
  <w:style w:type="table" w:styleId="95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7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6" w:customStyle="1">
    <w:name w:val="List Table 1 Light"/>
    <w:uiPriority w:val="99"/>
    <w:qFormat/>
    <w:tblPr>
      <w:tblCellMar>
        <w:left w:w="0" w:type="dxa"/>
        <w:top w:w="0" w:type="dxa"/>
        <w:right w:w="0" w:type="dxa"/>
        <w:bottom w:w="0" w:type="dxa"/>
      </w:tblCellMar>
    </w:tblPr>
  </w:style>
  <w:style w:type="table" w:styleId="1007" w:customStyle="1">
    <w:name w:val="List Table 1 Light - Accent 1"/>
    <w:uiPriority w:val="99"/>
    <w:qFormat/>
    <w:tblPr>
      <w:tblCellMar>
        <w:left w:w="0" w:type="dxa"/>
        <w:top w:w="0" w:type="dxa"/>
        <w:right w:w="0" w:type="dxa"/>
        <w:bottom w:w="0" w:type="dxa"/>
      </w:tblCellMar>
    </w:tblPr>
  </w:style>
  <w:style w:type="table" w:styleId="1008" w:customStyle="1">
    <w:name w:val="List Table 1 Light - Accent 2"/>
    <w:uiPriority w:val="99"/>
    <w:qFormat/>
    <w:tblPr>
      <w:tblCellMar>
        <w:left w:w="0" w:type="dxa"/>
        <w:top w:w="0" w:type="dxa"/>
        <w:right w:w="0" w:type="dxa"/>
        <w:bottom w:w="0" w:type="dxa"/>
      </w:tblCellMar>
    </w:tblPr>
  </w:style>
  <w:style w:type="table" w:styleId="1009" w:customStyle="1">
    <w:name w:val="List Table 1 Light - Accent 3"/>
    <w:uiPriority w:val="99"/>
    <w:qFormat/>
    <w:tblPr>
      <w:tblCellMar>
        <w:left w:w="0" w:type="dxa"/>
        <w:top w:w="0" w:type="dxa"/>
        <w:right w:w="0" w:type="dxa"/>
        <w:bottom w:w="0" w:type="dxa"/>
      </w:tblCellMar>
    </w:tblPr>
  </w:style>
  <w:style w:type="table" w:styleId="1010" w:customStyle="1">
    <w:name w:val="List Table 1 Light - Accent 4"/>
    <w:uiPriority w:val="99"/>
    <w:qFormat/>
    <w:tblPr>
      <w:tblCellMar>
        <w:left w:w="0" w:type="dxa"/>
        <w:top w:w="0" w:type="dxa"/>
        <w:right w:w="0" w:type="dxa"/>
        <w:bottom w:w="0" w:type="dxa"/>
      </w:tblCellMar>
    </w:tblPr>
  </w:style>
  <w:style w:type="table" w:styleId="1011" w:customStyle="1">
    <w:name w:val="List Table 1 Light - Accent 5"/>
    <w:uiPriority w:val="99"/>
    <w:qFormat/>
    <w:tblPr>
      <w:tblCellMar>
        <w:left w:w="0" w:type="dxa"/>
        <w:top w:w="0" w:type="dxa"/>
        <w:right w:w="0" w:type="dxa"/>
        <w:bottom w:w="0" w:type="dxa"/>
      </w:tblCellMar>
    </w:tblPr>
  </w:style>
  <w:style w:type="table" w:styleId="1012" w:customStyle="1">
    <w:name w:val="List Table 1 Light - Accent 6"/>
    <w:uiPriority w:val="99"/>
    <w:qFormat/>
    <w:tblPr>
      <w:tblCellMar>
        <w:left w:w="0" w:type="dxa"/>
        <w:top w:w="0" w:type="dxa"/>
        <w:right w:w="0" w:type="dxa"/>
        <w:bottom w:w="0" w:type="dxa"/>
      </w:tblCellMar>
    </w:tblPr>
  </w:style>
  <w:style w:type="table" w:styleId="101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4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5" w:customStyle="1">
    <w:name w:val="Lined - Accent"/>
    <w:uiPriority w:val="99"/>
    <w:qFormat/>
    <w:rPr>
      <w:color w:val="404040"/>
    </w:rPr>
    <w:tblPr>
      <w:tblCellMar>
        <w:left w:w="0" w:type="dxa"/>
        <w:top w:w="0" w:type="dxa"/>
        <w:right w:w="0" w:type="dxa"/>
        <w:bottom w:w="0" w:type="dxa"/>
      </w:tblCellMar>
    </w:tblPr>
  </w:style>
  <w:style w:type="table" w:styleId="1056" w:customStyle="1">
    <w:name w:val="Lined - Accent 1"/>
    <w:uiPriority w:val="99"/>
    <w:qFormat/>
    <w:rPr>
      <w:color w:val="404040"/>
    </w:rPr>
    <w:tblPr>
      <w:tblCellMar>
        <w:left w:w="0" w:type="dxa"/>
        <w:top w:w="0" w:type="dxa"/>
        <w:right w:w="0" w:type="dxa"/>
        <w:bottom w:w="0" w:type="dxa"/>
      </w:tblCellMar>
    </w:tblPr>
  </w:style>
  <w:style w:type="table" w:styleId="1057" w:customStyle="1">
    <w:name w:val="Lined - Accent 2"/>
    <w:uiPriority w:val="99"/>
    <w:qFormat/>
    <w:rPr>
      <w:color w:val="404040"/>
    </w:rPr>
    <w:tblPr>
      <w:tblCellMar>
        <w:left w:w="0" w:type="dxa"/>
        <w:top w:w="0" w:type="dxa"/>
        <w:right w:w="0" w:type="dxa"/>
        <w:bottom w:w="0" w:type="dxa"/>
      </w:tblCellMar>
    </w:tblPr>
  </w:style>
  <w:style w:type="table" w:styleId="1058" w:customStyle="1">
    <w:name w:val="Lined - Accent 3"/>
    <w:uiPriority w:val="99"/>
    <w:qFormat/>
    <w:rPr>
      <w:color w:val="404040"/>
    </w:rPr>
    <w:tblPr>
      <w:tblCellMar>
        <w:left w:w="0" w:type="dxa"/>
        <w:top w:w="0" w:type="dxa"/>
        <w:right w:w="0" w:type="dxa"/>
        <w:bottom w:w="0" w:type="dxa"/>
      </w:tblCellMar>
    </w:tblPr>
  </w:style>
  <w:style w:type="table" w:styleId="1059" w:customStyle="1">
    <w:name w:val="Lined - Accent 4"/>
    <w:uiPriority w:val="99"/>
    <w:qFormat/>
    <w:rPr>
      <w:color w:val="404040"/>
    </w:rPr>
    <w:tblPr>
      <w:tblCellMar>
        <w:left w:w="0" w:type="dxa"/>
        <w:top w:w="0" w:type="dxa"/>
        <w:right w:w="0" w:type="dxa"/>
        <w:bottom w:w="0" w:type="dxa"/>
      </w:tblCellMar>
    </w:tblPr>
  </w:style>
  <w:style w:type="table" w:styleId="1060" w:customStyle="1">
    <w:name w:val="Lined - Accent 5"/>
    <w:uiPriority w:val="99"/>
    <w:qFormat/>
    <w:rPr>
      <w:color w:val="404040"/>
    </w:rPr>
    <w:tblPr>
      <w:tblCellMar>
        <w:left w:w="0" w:type="dxa"/>
        <w:top w:w="0" w:type="dxa"/>
        <w:right w:w="0" w:type="dxa"/>
        <w:bottom w:w="0" w:type="dxa"/>
      </w:tblCellMar>
    </w:tblPr>
  </w:style>
  <w:style w:type="table" w:styleId="1061" w:customStyle="1">
    <w:name w:val="Lined - Accent 6"/>
    <w:uiPriority w:val="99"/>
    <w:qFormat/>
    <w:rPr>
      <w:color w:val="404040"/>
    </w:rPr>
    <w:tblPr>
      <w:tblCellMar>
        <w:left w:w="0" w:type="dxa"/>
        <w:top w:w="0" w:type="dxa"/>
        <w:right w:w="0" w:type="dxa"/>
        <w:bottom w:w="0" w:type="dxa"/>
      </w:tblCellMar>
    </w:tblPr>
  </w:style>
  <w:style w:type="table" w:styleId="106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6" w:customStyle="1">
    <w:name w:val="脚注文本 字符"/>
    <w:link w:val="906"/>
    <w:uiPriority w:val="99"/>
    <w:qFormat/>
    <w:rPr>
      <w:sz w:val="18"/>
    </w:rPr>
  </w:style>
  <w:style w:type="character" w:styleId="1077" w:customStyle="1">
    <w:name w:val="尾注文本 字符"/>
    <w:link w:val="898"/>
    <w:uiPriority w:val="99"/>
    <w:qFormat/>
    <w:rPr>
      <w:sz w:val="20"/>
    </w:rPr>
  </w:style>
  <w:style w:type="paragraph" w:styleId="1078" w:customStyle="1">
    <w:name w:val="TOC Heading"/>
    <w:uiPriority w:val="39"/>
    <w:unhideWhenUsed/>
    <w:qFormat/>
    <w:rPr>
      <w:rFonts w:ascii="Times New Roman" w:hAnsi="Times New Roman" w:eastAsia="宋体" w:cs="Times New Roman"/>
      <w:lang w:val="en-US" w:eastAsia="zh-CN" w:bidi="ar-SA"/>
    </w:rPr>
  </w:style>
  <w:style w:type="paragraph" w:styleId="1079" w:customStyle="1">
    <w:name w:val="正文文本1"/>
    <w:basedOn w:val="868"/>
    <w:next w:val="868"/>
    <w:uiPriority w:val="0"/>
    <w:qFormat/>
    <w:rPr>
      <w:rFonts w:ascii="仿宋_GB2312" w:eastAsia="仿宋_GB2312"/>
      <w:sz w:val="24"/>
      <w:szCs w:val="20"/>
    </w:rPr>
  </w:style>
  <w:style w:type="character" w:styleId="1080" w:customStyle="1">
    <w:name w:val="标题 1 字符"/>
    <w:link w:val="869"/>
    <w:uiPriority w:val="0"/>
    <w:qFormat/>
    <w:rPr>
      <w:rFonts w:ascii="楷体_GB2312" w:hAnsi="Times New Roman" w:eastAsia="楷体_GB2312" w:cs="Times New Roman"/>
      <w:sz w:val="28"/>
      <w:szCs w:val="28"/>
    </w:rPr>
  </w:style>
  <w:style w:type="character" w:styleId="1081" w:customStyle="1">
    <w:name w:val="标题 2 字符"/>
    <w:link w:val="870"/>
    <w:uiPriority w:val="0"/>
    <w:qFormat/>
    <w:rPr>
      <w:rFonts w:ascii="Arial" w:hAnsi="Arial" w:eastAsia="幼圆" w:cs="Arial"/>
      <w:b/>
      <w:bCs/>
      <w:sz w:val="44"/>
      <w:szCs w:val="44"/>
    </w:rPr>
  </w:style>
  <w:style w:type="character" w:styleId="1082" w:customStyle="1">
    <w:name w:val="正文缩进 字符"/>
    <w:link w:val="881"/>
    <w:uiPriority w:val="0"/>
    <w:qFormat/>
    <w:rPr>
      <w:szCs w:val="21"/>
    </w:rPr>
  </w:style>
  <w:style w:type="character" w:styleId="1083" w:customStyle="1">
    <w:name w:val="标题 3 字符"/>
    <w:link w:val="871"/>
    <w:uiPriority w:val="0"/>
    <w:qFormat/>
    <w:rPr>
      <w:rFonts w:ascii="Times New Roman" w:hAnsi="Times New Roman" w:eastAsia="宋体" w:cs="Times New Roman"/>
      <w:b/>
      <w:bCs/>
      <w:sz w:val="32"/>
      <w:szCs w:val="32"/>
    </w:rPr>
  </w:style>
  <w:style w:type="character" w:styleId="1084" w:customStyle="1">
    <w:name w:val="标题 4 字符"/>
    <w:link w:val="872"/>
    <w:uiPriority w:val="0"/>
    <w:qFormat/>
    <w:rPr>
      <w:rFonts w:ascii="Arial" w:hAnsi="Arial" w:eastAsia="黑体" w:cs="Arial"/>
      <w:b/>
      <w:bCs/>
      <w:sz w:val="28"/>
      <w:szCs w:val="28"/>
    </w:rPr>
  </w:style>
  <w:style w:type="character" w:styleId="1085" w:customStyle="1">
    <w:name w:val="标题 5 字符"/>
    <w:link w:val="873"/>
    <w:uiPriority w:val="0"/>
    <w:qFormat/>
    <w:rPr>
      <w:rFonts w:ascii="宋体" w:hAnsi="Times New Roman" w:eastAsia="宋体" w:cs="Times New Roman"/>
      <w:color w:val="000000"/>
      <w:sz w:val="28"/>
      <w:szCs w:val="28"/>
    </w:rPr>
  </w:style>
  <w:style w:type="character" w:styleId="1086" w:customStyle="1">
    <w:name w:val="标题 6 字符"/>
    <w:link w:val="874"/>
    <w:uiPriority w:val="0"/>
    <w:qFormat/>
    <w:rPr>
      <w:rFonts w:ascii="Arial" w:hAnsi="Arial" w:eastAsia="黑体" w:cs="Times New Roman"/>
      <w:b/>
      <w:bCs/>
      <w:sz w:val="24"/>
      <w:szCs w:val="24"/>
    </w:rPr>
  </w:style>
  <w:style w:type="character" w:styleId="1087" w:customStyle="1">
    <w:name w:val="标题 7 字符"/>
    <w:link w:val="875"/>
    <w:uiPriority w:val="0"/>
    <w:qFormat/>
    <w:rPr>
      <w:rFonts w:ascii="Times New Roman" w:hAnsi="Times New Roman" w:eastAsia="宋体" w:cs="Times New Roman"/>
      <w:b/>
      <w:bCs/>
      <w:sz w:val="24"/>
      <w:szCs w:val="24"/>
    </w:rPr>
  </w:style>
  <w:style w:type="character" w:styleId="1088" w:customStyle="1">
    <w:name w:val="标题 8 字符"/>
    <w:link w:val="876"/>
    <w:uiPriority w:val="0"/>
    <w:qFormat/>
    <w:rPr>
      <w:rFonts w:ascii="Arial" w:hAnsi="Arial" w:eastAsia="黑体" w:cs="Times New Roman"/>
      <w:sz w:val="24"/>
      <w:szCs w:val="24"/>
    </w:rPr>
  </w:style>
  <w:style w:type="character" w:styleId="1089" w:customStyle="1">
    <w:name w:val="标题 9 字符"/>
    <w:link w:val="877"/>
    <w:uiPriority w:val="0"/>
    <w:qFormat/>
    <w:rPr>
      <w:rFonts w:ascii="Arial" w:hAnsi="Arial" w:eastAsia="黑体" w:cs="Times New Roman"/>
      <w:szCs w:val="21"/>
    </w:rPr>
  </w:style>
  <w:style w:type="paragraph" w:styleId="1090" w:customStyle="1">
    <w:name w:val="目录 71"/>
    <w:basedOn w:val="868"/>
    <w:next w:val="868"/>
    <w:uiPriority w:val="0"/>
    <w:semiHidden/>
    <w:qFormat/>
    <w:pPr>
      <w:ind w:left="1260"/>
      <w:jc w:val="left"/>
    </w:pPr>
    <w:rPr>
      <w:szCs w:val="21"/>
    </w:rPr>
  </w:style>
  <w:style w:type="character" w:styleId="1091" w:customStyle="1">
    <w:name w:val="文档结构图 字符"/>
    <w:link w:val="885"/>
    <w:uiPriority w:val="0"/>
    <w:semiHidden/>
    <w:qFormat/>
    <w:rPr>
      <w:rFonts w:ascii="Times New Roman" w:hAnsi="Times New Roman" w:eastAsia="宋体" w:cs="Times New Roman"/>
      <w:szCs w:val="21"/>
      <w:shd w:val="clear" w:color="auto" w:fill="000080"/>
    </w:rPr>
  </w:style>
  <w:style w:type="character" w:styleId="1092" w:customStyle="1">
    <w:name w:val="批注文字 字符"/>
    <w:basedOn w:val="878"/>
    <w:link w:val="886"/>
    <w:uiPriority w:val="99"/>
    <w:semiHidden/>
    <w:qFormat/>
  </w:style>
  <w:style w:type="character" w:styleId="1093" w:customStyle="1">
    <w:name w:val="正文文本 3 字符"/>
    <w:link w:val="887"/>
    <w:uiPriority w:val="0"/>
    <w:qFormat/>
    <w:rPr>
      <w:rFonts w:ascii="仿宋_GB2312" w:hAnsi="Arial" w:eastAsia="仿宋_GB2312" w:cs="Times New Roman"/>
      <w:sz w:val="32"/>
      <w:szCs w:val="32"/>
    </w:rPr>
  </w:style>
  <w:style w:type="character" w:styleId="1094" w:customStyle="1">
    <w:name w:val="正文文本 字符"/>
    <w:link w:val="888"/>
    <w:uiPriority w:val="0"/>
    <w:qFormat/>
    <w:rPr>
      <w:rFonts w:ascii="楷体_GB2312" w:hAnsi="Arial" w:eastAsia="楷体_GB2312" w:cs="Times New Roman"/>
      <w:sz w:val="28"/>
      <w:szCs w:val="28"/>
    </w:rPr>
  </w:style>
  <w:style w:type="character" w:styleId="1095" w:customStyle="1">
    <w:name w:val="正文文本缩进 字符"/>
    <w:basedOn w:val="878"/>
    <w:link w:val="889"/>
    <w:uiPriority w:val="99"/>
    <w:semiHidden/>
    <w:qFormat/>
  </w:style>
  <w:style w:type="paragraph" w:styleId="1096" w:customStyle="1">
    <w:name w:val="目录 51"/>
    <w:basedOn w:val="868"/>
    <w:next w:val="868"/>
    <w:uiPriority w:val="0"/>
    <w:semiHidden/>
    <w:qFormat/>
    <w:pPr>
      <w:ind w:left="840"/>
      <w:jc w:val="left"/>
    </w:pPr>
    <w:rPr>
      <w:szCs w:val="21"/>
    </w:rPr>
  </w:style>
  <w:style w:type="paragraph" w:styleId="1097" w:customStyle="1">
    <w:name w:val="目录 31"/>
    <w:basedOn w:val="868"/>
    <w:next w:val="868"/>
    <w:uiPriority w:val="0"/>
    <w:semiHidden/>
    <w:qFormat/>
    <w:pPr>
      <w:ind w:left="420"/>
      <w:jc w:val="left"/>
    </w:pPr>
    <w:rPr>
      <w:i/>
      <w:iCs/>
      <w:szCs w:val="24"/>
    </w:rPr>
  </w:style>
  <w:style w:type="character" w:styleId="1098" w:customStyle="1">
    <w:name w:val="纯文本 字符"/>
    <w:link w:val="894"/>
    <w:uiPriority w:val="0"/>
    <w:qFormat/>
    <w:rPr>
      <w:rFonts w:ascii="宋体" w:hAnsi="Courier New" w:eastAsia="宋体" w:cs="Courier New"/>
      <w:szCs w:val="21"/>
    </w:rPr>
  </w:style>
  <w:style w:type="paragraph" w:styleId="1099" w:customStyle="1">
    <w:name w:val="目录 81"/>
    <w:basedOn w:val="868"/>
    <w:next w:val="868"/>
    <w:uiPriority w:val="0"/>
    <w:semiHidden/>
    <w:qFormat/>
    <w:pPr>
      <w:ind w:left="1470"/>
      <w:jc w:val="left"/>
    </w:pPr>
    <w:rPr>
      <w:szCs w:val="21"/>
    </w:rPr>
  </w:style>
  <w:style w:type="character" w:styleId="1100" w:customStyle="1">
    <w:name w:val="日期 字符"/>
    <w:link w:val="896"/>
    <w:uiPriority w:val="0"/>
    <w:qFormat/>
    <w:rPr>
      <w:rFonts w:ascii="Times New Roman" w:hAnsi="Times New Roman" w:eastAsia="宋体" w:cs="Times New Roman"/>
      <w:sz w:val="24"/>
      <w:szCs w:val="24"/>
    </w:rPr>
  </w:style>
  <w:style w:type="character" w:styleId="1101" w:customStyle="1">
    <w:name w:val="正文文本缩进 2 字符"/>
    <w:link w:val="897"/>
    <w:uiPriority w:val="0"/>
    <w:qFormat/>
    <w:rPr>
      <w:rFonts w:ascii="Arial" w:hAnsi="Arial" w:eastAsia="仿宋_GB2312" w:cs="Arial"/>
      <w:sz w:val="32"/>
      <w:szCs w:val="32"/>
    </w:rPr>
  </w:style>
  <w:style w:type="character" w:styleId="1102" w:customStyle="1">
    <w:name w:val="批注框文本 字符"/>
    <w:link w:val="899"/>
    <w:uiPriority w:val="0"/>
    <w:semiHidden/>
    <w:qFormat/>
    <w:rPr>
      <w:rFonts w:ascii="Times New Roman" w:hAnsi="Times New Roman" w:eastAsia="宋体" w:cs="Times New Roman"/>
      <w:sz w:val="18"/>
      <w:szCs w:val="18"/>
    </w:rPr>
  </w:style>
  <w:style w:type="character" w:styleId="1103" w:customStyle="1">
    <w:name w:val="页脚 字符"/>
    <w:link w:val="900"/>
    <w:uiPriority w:val="99"/>
    <w:qFormat/>
    <w:rPr>
      <w:rFonts w:ascii="Times New Roman" w:hAnsi="Times New Roman" w:eastAsia="宋体" w:cs="Times New Roman"/>
      <w:sz w:val="18"/>
      <w:szCs w:val="18"/>
    </w:rPr>
  </w:style>
  <w:style w:type="character" w:styleId="1104" w:customStyle="1">
    <w:name w:val="页眉 字符"/>
    <w:link w:val="901"/>
    <w:uiPriority w:val="0"/>
    <w:qFormat/>
    <w:rPr>
      <w:rFonts w:ascii="Times New Roman" w:hAnsi="Times New Roman" w:eastAsia="宋体" w:cs="Times New Roman"/>
      <w:sz w:val="18"/>
      <w:szCs w:val="18"/>
    </w:rPr>
  </w:style>
  <w:style w:type="paragraph" w:styleId="1105" w:customStyle="1">
    <w:name w:val="目录 41"/>
    <w:basedOn w:val="868"/>
    <w:next w:val="868"/>
    <w:uiPriority w:val="0"/>
    <w:semiHidden/>
    <w:qFormat/>
    <w:pPr>
      <w:ind w:left="630"/>
      <w:jc w:val="left"/>
    </w:pPr>
    <w:rPr>
      <w:szCs w:val="21"/>
    </w:rPr>
  </w:style>
  <w:style w:type="paragraph" w:styleId="1106" w:customStyle="1">
    <w:name w:val="目录 61"/>
    <w:basedOn w:val="868"/>
    <w:next w:val="868"/>
    <w:uiPriority w:val="0"/>
    <w:semiHidden/>
    <w:qFormat/>
    <w:pPr>
      <w:ind w:left="1050"/>
      <w:jc w:val="left"/>
    </w:pPr>
    <w:rPr>
      <w:szCs w:val="21"/>
    </w:rPr>
  </w:style>
  <w:style w:type="character" w:styleId="1107" w:customStyle="1">
    <w:name w:val="正文文本缩进 3 字符"/>
    <w:link w:val="908"/>
    <w:uiPriority w:val="0"/>
    <w:qFormat/>
    <w:rPr>
      <w:rFonts w:ascii="Arial" w:hAnsi="Arial" w:eastAsia="仿宋_GB2312" w:cs="Arial"/>
      <w:color w:val="ffff00"/>
      <w:sz w:val="32"/>
      <w:szCs w:val="32"/>
    </w:rPr>
  </w:style>
  <w:style w:type="paragraph" w:styleId="1108" w:customStyle="1">
    <w:name w:val="目录 21"/>
    <w:basedOn w:val="868"/>
    <w:next w:val="868"/>
    <w:uiPriority w:val="0"/>
    <w:semiHidden/>
    <w:qFormat/>
    <w:pPr>
      <w:ind w:left="210"/>
      <w:jc w:val="left"/>
    </w:pPr>
    <w:rPr>
      <w:smallCaps/>
      <w:szCs w:val="24"/>
    </w:rPr>
  </w:style>
  <w:style w:type="paragraph" w:styleId="1109" w:customStyle="1">
    <w:name w:val="目录 91"/>
    <w:basedOn w:val="868"/>
    <w:next w:val="868"/>
    <w:uiPriority w:val="0"/>
    <w:semiHidden/>
    <w:qFormat/>
    <w:pPr>
      <w:ind w:left="1680"/>
      <w:jc w:val="left"/>
    </w:pPr>
    <w:rPr>
      <w:szCs w:val="21"/>
    </w:rPr>
  </w:style>
  <w:style w:type="character" w:styleId="1110" w:customStyle="1">
    <w:name w:val="正文文本 2 字符"/>
    <w:link w:val="912"/>
    <w:uiPriority w:val="0"/>
    <w:qFormat/>
    <w:rPr>
      <w:rFonts w:ascii="楷体_GB2312" w:hAnsi="Times New Roman" w:eastAsia="楷体_GB2312" w:cs="Times New Roman"/>
      <w:sz w:val="28"/>
      <w:szCs w:val="28"/>
    </w:rPr>
  </w:style>
  <w:style w:type="character" w:styleId="1111" w:customStyle="1">
    <w:name w:val="批注主题 字符"/>
    <w:link w:val="916"/>
    <w:uiPriority w:val="0"/>
    <w:semiHidden/>
    <w:qFormat/>
    <w:rPr>
      <w:rFonts w:ascii="Times New Roman" w:hAnsi="Times New Roman" w:eastAsia="宋体" w:cs="Times New Roman"/>
      <w:b/>
      <w:bCs/>
      <w:szCs w:val="21"/>
    </w:rPr>
  </w:style>
  <w:style w:type="paragraph" w:styleId="1112" w:customStyle="1">
    <w:name w:val="正文首行缩进1"/>
    <w:basedOn w:val="868"/>
    <w:link w:val="1113"/>
    <w:uiPriority w:val="0"/>
    <w:qFormat/>
    <w:pPr>
      <w:ind w:firstLine="200"/>
      <w:spacing w:line="360" w:lineRule="auto"/>
    </w:pPr>
    <w:rPr>
      <w:rFonts w:ascii="仿宋_GB2312" w:eastAsia="仿宋_GB2312"/>
      <w:sz w:val="30"/>
      <w:szCs w:val="30"/>
    </w:rPr>
  </w:style>
  <w:style w:type="character" w:styleId="1113" w:customStyle="1">
    <w:name w:val="正文首行缩进 Char"/>
    <w:link w:val="1112"/>
    <w:uiPriority w:val="0"/>
    <w:qFormat/>
    <w:rPr>
      <w:rFonts w:ascii="仿宋_GB2312" w:hAnsi="Times New Roman" w:eastAsia="仿宋_GB2312" w:cs="Times New Roman"/>
      <w:sz w:val="30"/>
      <w:szCs w:val="30"/>
    </w:rPr>
  </w:style>
  <w:style w:type="paragraph" w:styleId="1114" w:customStyle="1">
    <w:name w:val="正文首行缩进 211"/>
    <w:basedOn w:val="889"/>
    <w:link w:val="1115"/>
    <w:uiPriority w:val="0"/>
    <w:qFormat/>
    <w:pPr>
      <w:ind w:left="0" w:firstLine="420"/>
      <w:spacing w:after="0" w:line="360" w:lineRule="auto"/>
    </w:pPr>
    <w:rPr>
      <w:rFonts w:ascii="宋体" w:hAnsi="宋体"/>
      <w:szCs w:val="20"/>
    </w:rPr>
  </w:style>
  <w:style w:type="character" w:styleId="1115" w:customStyle="1">
    <w:name w:val="正文首行缩进 2 Char"/>
    <w:link w:val="1114"/>
    <w:uiPriority w:val="0"/>
    <w:qFormat/>
    <w:rPr>
      <w:rFonts w:ascii="宋体" w:hAnsi="宋体" w:eastAsia="宋体" w:cs="Times New Roman"/>
      <w:szCs w:val="20"/>
    </w:rPr>
  </w:style>
  <w:style w:type="character" w:styleId="1116" w:customStyle="1">
    <w:name w:val="已访问的超链接1"/>
    <w:uiPriority w:val="0"/>
    <w:qFormat/>
    <w:rPr>
      <w:color w:val="800080"/>
      <w:u w:val="single"/>
    </w:rPr>
  </w:style>
  <w:style w:type="character" w:styleId="1117" w:customStyle="1">
    <w:name w:val="font5 Char"/>
    <w:uiPriority w:val="0"/>
    <w:qFormat/>
    <w:rPr>
      <w:rFonts w:ascii="宋体" w:hAnsi="宋体" w:eastAsia="宋体"/>
      <w:sz w:val="28"/>
      <w:szCs w:val="28"/>
      <w:lang w:val="en-US" w:eastAsia="zh-CN" w:bidi="ar-SA"/>
    </w:rPr>
  </w:style>
  <w:style w:type="character" w:styleId="1118" w:customStyle="1">
    <w:name w:val="二级目录 Char"/>
    <w:link w:val="1119"/>
    <w:uiPriority w:val="0"/>
    <w:qFormat/>
    <w:rPr>
      <w:b/>
      <w:sz w:val="30"/>
      <w:szCs w:val="28"/>
    </w:rPr>
  </w:style>
  <w:style w:type="paragraph" w:styleId="1119" w:customStyle="1">
    <w:name w:val="二级目录"/>
    <w:next w:val="868"/>
    <w:link w:val="111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20" w:customStyle="1">
    <w:name w:val="列出段落 Char"/>
    <w:link w:val="1121"/>
    <w:uiPriority w:val="0"/>
    <w:qFormat/>
    <w:rPr>
      <w:rFonts w:ascii="Calibri" w:hAnsi="Calibri"/>
      <w:sz w:val="24"/>
      <w:szCs w:val="24"/>
      <w:lang w:eastAsia="en-US" w:bidi="en-US"/>
    </w:rPr>
  </w:style>
  <w:style w:type="paragraph" w:styleId="1121" w:customStyle="1">
    <w:name w:val="列出段落1"/>
    <w:basedOn w:val="868"/>
    <w:link w:val="1120"/>
    <w:uiPriority w:val="0"/>
    <w:qFormat/>
    <w:pPr>
      <w:contextualSpacing/>
      <w:ind w:left="720"/>
      <w:jc w:val="left"/>
      <w:widowControl/>
    </w:pPr>
    <w:rPr>
      <w:rFonts w:ascii="Calibri" w:hAnsi="Calibri"/>
      <w:sz w:val="24"/>
      <w:szCs w:val="24"/>
      <w:lang w:eastAsia="en-US" w:bidi="en-US"/>
    </w:rPr>
  </w:style>
  <w:style w:type="paragraph" w:styleId="1122" w:customStyle="1">
    <w:name w:val="Body Text(ch)"/>
    <w:basedOn w:val="868"/>
    <w:next w:val="888"/>
    <w:uiPriority w:val="0"/>
    <w:qFormat/>
    <w:pPr>
      <w:spacing w:after="120"/>
    </w:pPr>
    <w:rPr>
      <w:rFonts w:ascii="宋体" w:hAnsi="Arial"/>
      <w:bCs/>
      <w:iCs/>
      <w:szCs w:val="24"/>
    </w:rPr>
  </w:style>
  <w:style w:type="paragraph" w:styleId="1123" w:customStyle="1">
    <w:name w:val="xl27"/>
    <w:basedOn w:val="8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4" w:customStyle="1">
    <w:name w:val="xl26"/>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5" w:customStyle="1">
    <w:name w:val="Char"/>
    <w:basedOn w:val="868"/>
    <w:uiPriority w:val="0"/>
    <w:qFormat/>
    <w:pPr>
      <w:ind w:firstLine="200"/>
      <w:tabs>
        <w:tab w:val="left" w:pos="360" w:leader="none"/>
      </w:tabs>
    </w:pPr>
    <w:rPr>
      <w:sz w:val="28"/>
      <w:szCs w:val="30"/>
    </w:rPr>
  </w:style>
  <w:style w:type="paragraph" w:styleId="1126" w:customStyle="1">
    <w:name w:val="Char1"/>
    <w:basedOn w:val="885"/>
    <w:uiPriority w:val="0"/>
    <w:qFormat/>
    <w:rPr>
      <w:rFonts w:ascii="Tahoma" w:hAnsi="Tahoma"/>
      <w:sz w:val="24"/>
      <w:szCs w:val="24"/>
    </w:rPr>
  </w:style>
  <w:style w:type="paragraph" w:styleId="1127" w:customStyle="1">
    <w:name w:val="普通正文"/>
    <w:basedOn w:val="868"/>
    <w:uiPriority w:val="0"/>
    <w:qFormat/>
    <w:pPr>
      <w:ind w:firstLine="480"/>
      <w:jc w:val="left"/>
      <w:spacing w:before="120" w:after="120" w:line="360" w:lineRule="auto"/>
    </w:pPr>
    <w:rPr>
      <w:rFonts w:ascii="Arial" w:hAnsi="Arial"/>
      <w:sz w:val="24"/>
      <w:szCs w:val="24"/>
    </w:rPr>
  </w:style>
  <w:style w:type="paragraph" w:styleId="1128" w:customStyle="1">
    <w:name w:val="table_lines"/>
    <w:basedOn w:val="868"/>
    <w:uiPriority w:val="0"/>
    <w:qFormat/>
    <w:pPr>
      <w:jc w:val="left"/>
      <w:widowControl/>
    </w:pPr>
    <w:rPr>
      <w:sz w:val="20"/>
      <w:szCs w:val="20"/>
      <w:lang w:val="de-DE" w:eastAsia="de-DE"/>
    </w:rPr>
  </w:style>
  <w:style w:type="paragraph" w:styleId="112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30" w:customStyle="1">
    <w:name w:val="font7"/>
    <w:basedOn w:val="868"/>
    <w:uiPriority w:val="0"/>
    <w:qFormat/>
    <w:pPr>
      <w:jc w:val="left"/>
      <w:spacing w:before="100" w:beforeAutospacing="1" w:after="100" w:afterAutospacing="1"/>
      <w:widowControl/>
    </w:pPr>
    <w:rPr>
      <w:rFonts w:hint="eastAsia" w:ascii="宋体" w:hAnsi="宋体"/>
      <w:sz w:val="18"/>
      <w:szCs w:val="18"/>
    </w:rPr>
  </w:style>
  <w:style w:type="paragraph" w:styleId="1131" w:customStyle="1">
    <w:name w:val="Char Char Char Char"/>
    <w:basedOn w:val="885"/>
    <w:uiPriority w:val="0"/>
    <w:qFormat/>
    <w:pPr>
      <w:spacing w:line="360" w:lineRule="auto"/>
    </w:pPr>
    <w:rPr>
      <w:rFonts w:ascii="Tahoma" w:hAnsi="Tahoma"/>
      <w:sz w:val="24"/>
      <w:szCs w:val="24"/>
    </w:rPr>
  </w:style>
  <w:style w:type="paragraph" w:styleId="1132" w:customStyle="1">
    <w:name w:val="列出段落"/>
    <w:basedOn w:val="868"/>
    <w:uiPriority w:val="0"/>
    <w:qFormat/>
    <w:pPr>
      <w:contextualSpacing/>
      <w:ind w:left="720"/>
      <w:jc w:val="left"/>
      <w:widowControl/>
    </w:pPr>
    <w:rPr>
      <w:rFonts w:ascii="Calibri" w:hAnsi="Calibri"/>
      <w:sz w:val="24"/>
      <w:szCs w:val="24"/>
      <w:lang w:eastAsia="en-US" w:bidi="en-US"/>
    </w:rPr>
  </w:style>
  <w:style w:type="paragraph" w:styleId="1133" w:customStyle="1">
    <w:name w:val="4"/>
    <w:basedOn w:val="868"/>
    <w:next w:val="908"/>
    <w:uiPriority w:val="0"/>
    <w:qFormat/>
    <w:pPr>
      <w:ind w:firstLine="420"/>
      <w:spacing w:line="360" w:lineRule="auto"/>
    </w:pPr>
    <w:rPr>
      <w:color w:val="ff0000"/>
      <w:sz w:val="24"/>
      <w:szCs w:val="24"/>
    </w:rPr>
  </w:style>
  <w:style w:type="paragraph" w:styleId="1134" w:customStyle="1">
    <w:name w:val="普通 (Web)"/>
    <w:basedOn w:val="868"/>
    <w:uiPriority w:val="0"/>
    <w:qFormat/>
    <w:pPr>
      <w:jc w:val="left"/>
      <w:spacing w:before="100" w:beforeAutospacing="1" w:after="100" w:afterAutospacing="1"/>
      <w:widowControl/>
    </w:pPr>
    <w:rPr>
      <w:rFonts w:ascii="宋体" w:hAnsi="宋体"/>
      <w:sz w:val="24"/>
      <w:szCs w:val="24"/>
    </w:rPr>
  </w:style>
  <w:style w:type="paragraph" w:styleId="1135" w:customStyle="1">
    <w:name w:val="Char Char Char Char Char Char Char Char Char Char"/>
    <w:basedOn w:val="868"/>
    <w:uiPriority w:val="0"/>
    <w:qFormat/>
    <w:pPr>
      <w:spacing w:line="360" w:lineRule="auto"/>
    </w:pPr>
    <w:rPr>
      <w:sz w:val="24"/>
      <w:szCs w:val="20"/>
    </w:rPr>
  </w:style>
  <w:style w:type="paragraph" w:styleId="1136" w:customStyle="1">
    <w:name w:val="样式1"/>
    <w:basedOn w:val="868"/>
    <w:uiPriority w:val="0"/>
    <w:qFormat/>
    <w:pPr>
      <w:numPr>
        <w:ilvl w:val="0"/>
        <w:numId w:val="3"/>
      </w:numPr>
    </w:pPr>
    <w:rPr>
      <w:rFonts w:ascii="宋体" w:hAnsi="宋体"/>
      <w:szCs w:val="21"/>
    </w:rPr>
  </w:style>
  <w:style w:type="paragraph" w:styleId="1137" w:customStyle="1">
    <w:name w:val="font6"/>
    <w:basedOn w:val="868"/>
    <w:uiPriority w:val="0"/>
    <w:qFormat/>
    <w:pPr>
      <w:jc w:val="left"/>
      <w:spacing w:before="100" w:beforeAutospacing="1" w:after="100" w:afterAutospacing="1"/>
      <w:widowControl/>
    </w:pPr>
    <w:rPr>
      <w:rFonts w:hint="eastAsia" w:ascii="宋体" w:hAnsi="宋体"/>
      <w:sz w:val="28"/>
      <w:szCs w:val="28"/>
      <w:u w:val="single"/>
    </w:rPr>
  </w:style>
  <w:style w:type="paragraph" w:styleId="1138" w:customStyle="1">
    <w:name w:val="xl25"/>
    <w:basedOn w:val="8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9" w:customStyle="1">
    <w:name w:val="图标"/>
    <w:basedOn w:val="868"/>
    <w:next w:val="8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0" w:customStyle="1">
    <w:name w:val="标题3"/>
    <w:basedOn w:val="868"/>
    <w:next w:val="868"/>
    <w:uiPriority w:val="0"/>
    <w:qFormat/>
    <w:pPr>
      <w:ind w:firstLine="624"/>
      <w:spacing w:line="590" w:lineRule="atLeast"/>
    </w:pPr>
    <w:rPr>
      <w:rFonts w:ascii="方正黑体_GBK" w:eastAsia="方正黑体_GBK"/>
      <w:sz w:val="32"/>
      <w:szCs w:val="32"/>
    </w:rPr>
  </w:style>
  <w:style w:type="paragraph" w:styleId="1141" w:customStyle="1">
    <w:name w:val="xl24"/>
    <w:basedOn w:val="8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2" w:customStyle="1">
    <w:name w:val="xl29"/>
    <w:basedOn w:val="8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3" w:customStyle="1">
    <w:name w:val="Char Char Char Char Char Char Char Char"/>
    <w:basedOn w:val="868"/>
    <w:uiPriority w:val="0"/>
    <w:qFormat/>
    <w:pPr>
      <w:jc w:val="left"/>
      <w:spacing w:after="160" w:line="240" w:lineRule="exact"/>
      <w:widowControl/>
    </w:pPr>
    <w:rPr>
      <w:rFonts w:ascii="Verdana" w:hAnsi="Verdana"/>
      <w:sz w:val="20"/>
      <w:szCs w:val="20"/>
      <w:lang w:eastAsia="en-US"/>
    </w:rPr>
  </w:style>
  <w:style w:type="paragraph" w:styleId="1144" w:customStyle="1">
    <w:name w:val="xl28"/>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5" w:customStyle="1">
    <w:name w:val="Char Char Char Char Char Char Char Char1"/>
    <w:basedOn w:val="868"/>
    <w:uiPriority w:val="0"/>
    <w:qFormat/>
    <w:pPr>
      <w:jc w:val="left"/>
      <w:spacing w:after="160" w:line="240" w:lineRule="exact"/>
      <w:widowControl/>
    </w:pPr>
    <w:rPr>
      <w:rFonts w:ascii="Verdana" w:hAnsi="Verdana"/>
      <w:sz w:val="20"/>
      <w:szCs w:val="20"/>
      <w:lang w:eastAsia="en-US"/>
    </w:rPr>
  </w:style>
  <w:style w:type="paragraph" w:styleId="1146" w:customStyle="1">
    <w:name w:val="xl30"/>
    <w:basedOn w:val="868"/>
    <w:uiPriority w:val="0"/>
    <w:qFormat/>
    <w:pPr>
      <w:jc w:val="center"/>
      <w:spacing w:before="100" w:beforeAutospacing="1" w:after="100" w:afterAutospacing="1"/>
      <w:widowControl/>
    </w:pPr>
    <w:rPr>
      <w:rFonts w:ascii="宋体" w:hAnsi="宋体"/>
      <w:b/>
      <w:bCs/>
      <w:sz w:val="36"/>
      <w:szCs w:val="36"/>
    </w:rPr>
  </w:style>
  <w:style w:type="paragraph" w:styleId="1147" w:customStyle="1">
    <w:name w:val="Char Char Char Char1"/>
    <w:basedOn w:val="885"/>
    <w:uiPriority w:val="0"/>
    <w:qFormat/>
    <w:pPr>
      <w:spacing w:line="360" w:lineRule="auto"/>
    </w:pPr>
    <w:rPr>
      <w:rFonts w:ascii="Tahoma" w:hAnsi="Tahoma"/>
      <w:sz w:val="24"/>
      <w:szCs w:val="24"/>
    </w:rPr>
  </w:style>
  <w:style w:type="paragraph" w:styleId="1148" w:customStyle="1">
    <w:name w:val="table_1stline"/>
    <w:basedOn w:val="868"/>
    <w:uiPriority w:val="0"/>
    <w:qFormat/>
    <w:pPr>
      <w:jc w:val="left"/>
      <w:spacing w:before="120"/>
      <w:widowControl/>
    </w:pPr>
    <w:rPr>
      <w:bCs/>
      <w:sz w:val="20"/>
      <w:szCs w:val="20"/>
      <w:lang w:val="de-DE" w:eastAsia="de-DE"/>
    </w:rPr>
  </w:style>
  <w:style w:type="paragraph" w:styleId="1149" w:customStyle="1">
    <w:name w:val="font5"/>
    <w:basedOn w:val="868"/>
    <w:uiPriority w:val="0"/>
    <w:qFormat/>
    <w:pPr>
      <w:jc w:val="left"/>
      <w:spacing w:before="100" w:beforeAutospacing="1" w:after="100" w:afterAutospacing="1"/>
      <w:widowControl/>
    </w:pPr>
    <w:rPr>
      <w:rFonts w:hint="eastAsia" w:ascii="宋体" w:hAnsi="宋体"/>
      <w:sz w:val="28"/>
      <w:szCs w:val="28"/>
    </w:rPr>
  </w:style>
  <w:style w:type="paragraph" w:styleId="1150" w:customStyle="1">
    <w:name w:val="标题1"/>
    <w:basedOn w:val="868"/>
    <w:next w:val="8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1" w:customStyle="1">
    <w:name w:val="Revision"/>
    <w:uiPriority w:val="99"/>
    <w:semiHidden/>
    <w:qFormat/>
    <w:rPr>
      <w:rFonts w:ascii="Times New Roman" w:hAnsi="Times New Roman" w:eastAsia="宋体" w:cs="Times New Roman"/>
      <w:sz w:val="21"/>
      <w:szCs w:val="21"/>
      <w:lang w:val="en-US" w:eastAsia="zh-CN" w:bidi="ar-SA"/>
    </w:rPr>
  </w:style>
  <w:style w:type="paragraph" w:styleId="1152" w:customStyle="1">
    <w:name w:val="信息标题1"/>
    <w:basedOn w:val="868"/>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53" w:customStyle="1">
    <w:name w:val="正文缩进1"/>
    <w:basedOn w:val="868"/>
    <w:uiPriority w:val="99"/>
    <w:qFormat/>
    <w:pPr>
      <w:ind w:firstLine="420"/>
      <w:jc w:val="left"/>
    </w:pPr>
    <w:rPr>
      <w:rFonts w:ascii="宋体"/>
      <w:sz w:val="24"/>
      <w:szCs w:val="20"/>
    </w:rPr>
  </w:style>
  <w:style w:type="paragraph" w:styleId="1154" w:customStyle="1">
    <w:name w:val="索引 11"/>
    <w:basedOn w:val="868"/>
    <w:next w:val="868"/>
    <w:uiPriority w:val="99"/>
    <w:qFormat/>
    <w:pPr>
      <w:spacing w:line="360" w:lineRule="auto"/>
    </w:pPr>
    <w:rPr>
      <w:rFonts w:ascii="仿宋_GB2312" w:eastAsia="仿宋_GB2312"/>
      <w:sz w:val="24"/>
      <w:szCs w:val="20"/>
    </w:rPr>
  </w:style>
  <w:style w:type="paragraph" w:styleId="1155" w:customStyle="1">
    <w:name w:val="Body text|1"/>
    <w:basedOn w:val="868"/>
    <w:uiPriority w:val="0"/>
    <w:qFormat/>
    <w:pPr>
      <w:ind w:firstLine="400"/>
      <w:spacing w:line="432" w:lineRule="auto"/>
    </w:pPr>
    <w:rPr>
      <w:rFonts w:ascii="宋体" w:hAnsi="宋体" w:cs="宋体"/>
      <w:lang w:val="zh-TW" w:eastAsia="zh-TW" w:bidi="zh-TW"/>
    </w:rPr>
  </w:style>
  <w:style w:type="paragraph" w:styleId="115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157" w:customStyle="1">
    <w:name w:val="段"/>
    <w:next w:val="868"/>
    <w:uiPriority w:val="99"/>
    <w:qFormat/>
    <w:pPr>
      <w:ind w:firstLine="200"/>
      <w:jc w:val="both"/>
    </w:pPr>
    <w:rPr>
      <w:rFonts w:ascii="宋体" w:hAnsi="Times New Roman" w:eastAsia="宋体" w:cs="Times New Roman"/>
      <w:sz w:val="21"/>
      <w:lang w:val="en-US" w:eastAsia="zh-CN" w:bidi="ar-SA"/>
    </w:rPr>
  </w:style>
  <w:style w:type="paragraph" w:styleId="1158" w:customStyle="1">
    <w:name w:val="正文缩进11"/>
    <w:basedOn w:val="868"/>
    <w:uiPriority w:val="0"/>
    <w:qFormat/>
    <w:pPr>
      <w:ind w:firstLine="420"/>
    </w:pPr>
    <w:rPr>
      <w:szCs w:val="20"/>
    </w:rPr>
  </w:style>
  <w:style w:type="paragraph" w:styleId="1159" w:customStyle="1">
    <w:name w:val="标题 21"/>
    <w:basedOn w:val="868"/>
    <w:next w:val="868"/>
    <w:uiPriority w:val="0"/>
    <w:qFormat/>
    <w:pPr>
      <w:jc w:val="center"/>
      <w:keepLines/>
      <w:keepNext/>
      <w:spacing w:before="260" w:after="260" w:line="416" w:lineRule="auto"/>
      <w:outlineLvl w:val="1"/>
    </w:pPr>
    <w:rPr>
      <w:rFonts w:ascii="Arial" w:hAnsi="Arial" w:eastAsia="幼圆"/>
      <w:b/>
      <w:sz w:val="44"/>
      <w:szCs w:val="20"/>
    </w:rPr>
  </w:style>
  <w:style w:type="paragraph" w:styleId="1160" w:customStyle="1">
    <w:name w:val="正文首行缩进 21"/>
    <w:basedOn w:val="1161"/>
    <w:uiPriority w:val="99"/>
    <w:unhideWhenUsed/>
    <w:qFormat/>
    <w:pPr>
      <w:ind w:firstLine="420"/>
    </w:pPr>
  </w:style>
  <w:style w:type="paragraph" w:styleId="1161" w:customStyle="1">
    <w:name w:val="正文文本缩进1"/>
    <w:basedOn w:val="868"/>
    <w:next w:val="1162"/>
    <w:uiPriority w:val="0"/>
    <w:qFormat/>
    <w:pPr>
      <w:ind w:firstLine="645"/>
    </w:pPr>
    <w:rPr>
      <w:rFonts w:ascii="楷体_GB2312" w:eastAsia="楷体_GB2312"/>
      <w:sz w:val="32"/>
      <w:szCs w:val="20"/>
    </w:rPr>
  </w:style>
  <w:style w:type="paragraph" w:styleId="1162" w:customStyle="1">
    <w:name w:val="寄信人地址1"/>
    <w:basedOn w:val="868"/>
    <w:uiPriority w:val="99"/>
    <w:qFormat/>
    <w:rPr>
      <w:rFonts w:ascii="Arial" w:hAnsi="Arial" w:cs="Arial"/>
    </w:rPr>
  </w:style>
  <w:style w:type="paragraph" w:styleId="116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6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wmf"/><Relationship Id="rId19" Type="http://schemas.openxmlformats.org/officeDocument/2006/relationships/oleObject" Target="embeddings/oleObject1.bin"/><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7"/>
    <customShpInfo spid="_x0000_s1025"/>
    <customShpInfo spid="_x0000_s1028" textRotate="1"/>
    <customShpInfo spid="_x0000_s1026" textRotate="1"/>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陈柯柯</cp:lastModifiedBy>
  <cp:revision>71</cp:revision>
  <dcterms:created xsi:type="dcterms:W3CDTF">2023-03-27T07:28:00Z</dcterms:created>
  <dcterms:modified xsi:type="dcterms:W3CDTF">2026-02-12T02:48:23Z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eyJoZGlkIjoiMDhkZWZkOWRjZTM1ODUwNmU2ODNlNDA2MzMzOWNmZTEiLCJ1c2VySWQiOiI1MjMyNDc1MDUifQ==</vt:lpwstr>
  </property>
  <property fmtid="{D5CDD505-2E9C-101B-9397-08002B2CF9AE}" pid="3" name="KSOProductBuildVer">
    <vt:lpwstr>2052-12.1.0.25225</vt:lpwstr>
  </property>
  <property fmtid="{D5CDD505-2E9C-101B-9397-08002B2CF9AE}" pid="4" name="ICV">
    <vt:lpwstr>F9CE8EE0B7EA435D913B10A145D30DA4_12</vt:lpwstr>
  </property>
</Properties>
</file>